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7D" w:rsidRPr="00043C67" w:rsidRDefault="000B567D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</w:p>
    <w:p w:rsidR="00F46765" w:rsidRPr="00043C67" w:rsidRDefault="00F46765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TERMO DE REFERÊNCIA</w:t>
      </w:r>
    </w:p>
    <w:p w:rsidR="00F46765" w:rsidRPr="00043C67" w:rsidRDefault="000E3B0A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CONTRATAÇÃO DE SERVIÇOS</w:t>
      </w:r>
    </w:p>
    <w:p w:rsidR="00944C2C" w:rsidRPr="00043C67" w:rsidRDefault="006C64AF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INEXIGIBILIDADE</w:t>
      </w:r>
    </w:p>
    <w:p w:rsidR="00F46765" w:rsidRPr="00043C67" w:rsidRDefault="00F46765" w:rsidP="00043C67">
      <w:pPr>
        <w:spacing w:line="360" w:lineRule="auto"/>
        <w:ind w:firstLine="284"/>
        <w:jc w:val="center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Processo nº ............</w:t>
      </w:r>
    </w:p>
    <w:p w:rsidR="00F46765" w:rsidRPr="00043C67" w:rsidRDefault="00F46765" w:rsidP="00043C67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AF1B2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OBJETO</w:t>
      </w:r>
    </w:p>
    <w:p w:rsidR="00F46765" w:rsidRPr="00043C67" w:rsidRDefault="000E3B0A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permStart w:id="1543062044" w:edGrp="everyone"/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Contratação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de </w:t>
      </w:r>
      <w:r w:rsidR="00944C2C"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.......................................................................................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de acordo com condições, quantidades e exigências e</w:t>
      </w:r>
      <w:r w:rsidR="00944C2C" w:rsidRPr="00043C67">
        <w:rPr>
          <w:rFonts w:asciiTheme="minorHAnsi" w:hAnsiTheme="minorHAnsi" w:cstheme="minorHAnsi"/>
          <w:sz w:val="22"/>
          <w:szCs w:val="22"/>
          <w:lang w:val="pt"/>
        </w:rPr>
        <w:t>stabelecidas neste instrumento:</w:t>
      </w:r>
    </w:p>
    <w:permEnd w:id="1543062044"/>
    <w:p w:rsidR="00F46765" w:rsidRPr="00043C67" w:rsidRDefault="00F46765" w:rsidP="00043C67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197"/>
        <w:gridCol w:w="1197"/>
        <w:gridCol w:w="946"/>
        <w:gridCol w:w="1312"/>
        <w:gridCol w:w="1497"/>
        <w:gridCol w:w="1079"/>
        <w:gridCol w:w="1070"/>
      </w:tblGrid>
      <w:tr w:rsidR="00341824" w:rsidRPr="00043C67" w:rsidTr="00A8539D">
        <w:trPr>
          <w:trHeight w:val="495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944C2C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ermStart w:id="1429150610" w:edGrp="everyone"/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ITEM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CÓDIGO</w:t>
            </w:r>
          </w:p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BR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341824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CÓDIGO </w:t>
            </w:r>
            <w:r w:rsidR="00F46765"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ELOTECH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QTDE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UNIDADE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DESCRIÇÃO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UNITÁRIO (R$)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C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TOTAL (R$)</w:t>
            </w:r>
          </w:p>
        </w:tc>
      </w:tr>
      <w:tr w:rsidR="00341824" w:rsidRPr="00043C67" w:rsidTr="00A8539D">
        <w:trPr>
          <w:trHeight w:hRule="exact" w:val="313"/>
          <w:jc w:val="center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65" w:rsidRPr="00043C67" w:rsidRDefault="00F46765" w:rsidP="00043C67">
            <w:pPr>
              <w:spacing w:line="360" w:lineRule="auto"/>
              <w:ind w:firstLine="284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permEnd w:id="1429150610"/>
    </w:tbl>
    <w:p w:rsidR="000B567D" w:rsidRPr="00043C67" w:rsidRDefault="000B567D" w:rsidP="00043C67">
      <w:pPr>
        <w:widowControl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944C2C" w:rsidRPr="00043C67" w:rsidRDefault="00944C2C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Os quantitativos e respectivos códigos dos itens são os discriminados na tabela acima.</w:t>
      </w:r>
    </w:p>
    <w:p w:rsidR="00944C2C" w:rsidRPr="00043C67" w:rsidRDefault="00944C2C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O custo estimado da contratação é de </w:t>
      </w:r>
      <w:permStart w:id="594620599" w:edGrp="everyone"/>
      <w:r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>R$ ................................................(valor por extenso).</w:t>
      </w:r>
    </w:p>
    <w:permEnd w:id="594620599"/>
    <w:p w:rsidR="000E3B0A" w:rsidRPr="00043C67" w:rsidRDefault="00944C2C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0E3B0A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 presente contratação adotará como regime de execução a </w:t>
      </w:r>
      <w:permStart w:id="701256433" w:edGrp="everyone"/>
      <w:r w:rsidR="000E3B0A"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Empreitada por Preço Unitário ou Global. </w:t>
      </w:r>
    </w:p>
    <w:permEnd w:id="701256433"/>
    <w:p w:rsidR="00944C2C" w:rsidRPr="00043C67" w:rsidRDefault="000E3B0A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944C2C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 Contrato terá vigência pelo período de </w:t>
      </w:r>
      <w:permStart w:id="1795695750" w:edGrp="everyone"/>
      <w:r w:rsidR="00944C2C"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>....................dias/meses.</w:t>
      </w:r>
      <w:permEnd w:id="1795695750"/>
    </w:p>
    <w:p w:rsidR="00944C2C" w:rsidRPr="00043C67" w:rsidRDefault="00944C2C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944C2C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JUSTIFICATIVA </w:t>
      </w:r>
      <w:r w:rsidR="000E3B0A" w:rsidRPr="00043C67">
        <w:rPr>
          <w:rFonts w:asciiTheme="minorHAnsi" w:hAnsiTheme="minorHAnsi" w:cstheme="minorHAnsi"/>
          <w:b/>
          <w:sz w:val="22"/>
          <w:szCs w:val="22"/>
          <w:lang w:val="pt"/>
        </w:rPr>
        <w:t>E OBJETIVOS DA</w:t>
      </w: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CONTRATAÇÃO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</w:p>
    <w:p w:rsidR="000E3B0A" w:rsidRPr="00043C67" w:rsidRDefault="000E3B0A" w:rsidP="00043C67">
      <w:pPr>
        <w:pStyle w:val="PargrafodaLista"/>
        <w:widowControl/>
        <w:numPr>
          <w:ilvl w:val="1"/>
          <w:numId w:val="1"/>
        </w:numPr>
        <w:suppressAutoHyphens w:val="0"/>
        <w:spacing w:before="120" w:after="240" w:line="360" w:lineRule="auto"/>
        <w:ind w:left="0" w:firstLine="284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bookmarkStart w:id="0" w:name="_Hlk67663753"/>
      <w:r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</w:t>
      </w:r>
      <w:permStart w:id="370626825" w:edGrp="everyone"/>
      <w:r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Justificativa da Contratação, de forma motivada, indicando as razões para a realização da Dispensa; </w:t>
      </w:r>
    </w:p>
    <w:p w:rsidR="000E3B0A" w:rsidRPr="00043C67" w:rsidRDefault="000E3B0A" w:rsidP="00043C67">
      <w:pPr>
        <w:pStyle w:val="PargrafodaLista"/>
        <w:widowControl/>
        <w:numPr>
          <w:ilvl w:val="1"/>
          <w:numId w:val="1"/>
        </w:numPr>
        <w:suppressAutoHyphens w:val="0"/>
        <w:spacing w:before="120" w:after="240" w:line="360" w:lineRule="auto"/>
        <w:ind w:left="0" w:firstLine="284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color w:val="FF0000"/>
          <w:sz w:val="22"/>
          <w:szCs w:val="22"/>
          <w:lang w:val="pt"/>
        </w:rPr>
        <w:t xml:space="preserve"> Justificativa da Escolha do Contratado. </w:t>
      </w:r>
    </w:p>
    <w:permEnd w:id="370626825"/>
    <w:p w:rsidR="009D230D" w:rsidRPr="00043C67" w:rsidRDefault="009D230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DA CLASSIFICAÇÃO DOS SERVIÇOS E FORMA DE SELEÇÃO DO FORNECEDOR   </w:t>
      </w:r>
    </w:p>
    <w:p w:rsidR="009D230D" w:rsidRPr="00043C67" w:rsidRDefault="00B42718" w:rsidP="00B42718">
      <w:pPr>
        <w:widowControl/>
        <w:numPr>
          <w:ilvl w:val="1"/>
          <w:numId w:val="1"/>
        </w:numPr>
        <w:suppressAutoHyphens w:val="0"/>
        <w:spacing w:line="360" w:lineRule="auto"/>
        <w:ind w:hanging="78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42718">
        <w:rPr>
          <w:rFonts w:asciiTheme="minorHAnsi" w:hAnsiTheme="minorHAnsi" w:cstheme="minorHAnsi"/>
          <w:color w:val="000000"/>
          <w:sz w:val="22"/>
          <w:szCs w:val="22"/>
        </w:rPr>
        <w:t>A INEXIGIBILIDADE de licitação está prevista no artigo 25 da Lei 8.666/1993.</w:t>
      </w:r>
      <w:r w:rsidR="009D230D" w:rsidRPr="00043C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D230D" w:rsidRPr="00043C67" w:rsidRDefault="009D230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3C67">
        <w:rPr>
          <w:rFonts w:asciiTheme="minorHAnsi" w:hAnsiTheme="minorHAnsi" w:cstheme="minorHAnsi"/>
          <w:color w:val="000000"/>
          <w:sz w:val="22"/>
          <w:szCs w:val="22"/>
        </w:rPr>
        <w:t xml:space="preserve">Os serviços a serem contratados enquadram-se nos pressupostos do Decreto n° 9.507, de 21 de setembro de 2018, não se constituindo em quaisquer das atividades, previstas no art. 3º do aludido decreto, cuja execução indireta é vedada; </w:t>
      </w:r>
    </w:p>
    <w:p w:rsidR="009D230D" w:rsidRPr="00043C67" w:rsidRDefault="009D230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43C67">
        <w:rPr>
          <w:rFonts w:asciiTheme="minorHAnsi" w:hAnsiTheme="minorHAnsi" w:cstheme="minorHAnsi"/>
          <w:color w:val="000000"/>
          <w:sz w:val="22"/>
          <w:szCs w:val="22"/>
        </w:rPr>
        <w:lastRenderedPageBreak/>
        <w:t>A prestação dos serviços não gera vínculo empregatício entre os empregados da Contratada e a Administração Contratante, vedando-se qualquer relação entre estes que caracterize pessoalidade e subordinação direta.</w:t>
      </w:r>
    </w:p>
    <w:p w:rsidR="009D230D" w:rsidRPr="00043C67" w:rsidRDefault="009D230D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D230D" w:rsidRPr="00043C67" w:rsidRDefault="009D230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EXECUÇÃO DO OBJETO</w:t>
      </w:r>
    </w:p>
    <w:bookmarkEnd w:id="0"/>
    <w:p w:rsidR="00B37228" w:rsidRDefault="00B37228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permStart w:id="2034259636" w:edGrp="everyone"/>
      <w:r w:rsidRPr="008E4691">
        <w:rPr>
          <w:rFonts w:ascii="Calibri" w:hAnsi="Calibri" w:cs="Calibri"/>
          <w:sz w:val="22"/>
          <w:szCs w:val="22"/>
          <w:lang w:eastAsia="ar-SA"/>
        </w:rPr>
        <w:t xml:space="preserve">O prazo máximo </w:t>
      </w:r>
      <w:r>
        <w:rPr>
          <w:rFonts w:ascii="Calibri" w:hAnsi="Calibri" w:cs="Calibri"/>
          <w:sz w:val="22"/>
          <w:szCs w:val="22"/>
          <w:lang w:eastAsia="ar-SA"/>
        </w:rPr>
        <w:t xml:space="preserve">para a execução do objeto será </w:t>
      </w:r>
      <w:r w:rsidRPr="00B37228">
        <w:rPr>
          <w:rFonts w:ascii="Calibri" w:hAnsi="Calibri" w:cs="Calibri"/>
          <w:b/>
          <w:sz w:val="22"/>
          <w:szCs w:val="22"/>
          <w:highlight w:val="yellow"/>
          <w:lang w:eastAsia="ar-SA"/>
        </w:rPr>
        <w:t xml:space="preserve">de até 30 (trinta) dias após </w:t>
      </w:r>
      <w:r w:rsidR="00B42718">
        <w:rPr>
          <w:rFonts w:ascii="Calibri" w:hAnsi="Calibri" w:cs="Calibri"/>
          <w:b/>
          <w:sz w:val="22"/>
          <w:szCs w:val="22"/>
          <w:highlight w:val="yellow"/>
          <w:lang w:eastAsia="ar-SA"/>
        </w:rPr>
        <w:t>o envio</w:t>
      </w:r>
      <w:r w:rsidRPr="00B37228">
        <w:rPr>
          <w:rFonts w:ascii="Calibri" w:hAnsi="Calibri" w:cs="Calibri"/>
          <w:b/>
          <w:sz w:val="22"/>
          <w:szCs w:val="22"/>
          <w:highlight w:val="yellow"/>
          <w:lang w:eastAsia="ar-SA"/>
        </w:rPr>
        <w:t xml:space="preserve"> da Nota de Empenho pelo </w:t>
      </w:r>
      <w:r w:rsidR="00B42718">
        <w:rPr>
          <w:rFonts w:ascii="Calibri" w:hAnsi="Calibri" w:cs="Calibri"/>
          <w:b/>
          <w:sz w:val="22"/>
          <w:szCs w:val="22"/>
          <w:lang w:eastAsia="ar-SA"/>
        </w:rPr>
        <w:t>fiscal do processo</w:t>
      </w:r>
      <w:r w:rsidRPr="008E4691">
        <w:rPr>
          <w:rFonts w:ascii="Calibri" w:hAnsi="Calibri" w:cs="Calibri"/>
          <w:b/>
          <w:sz w:val="22"/>
          <w:szCs w:val="22"/>
          <w:lang w:eastAsia="ar-SA"/>
        </w:rPr>
        <w:t>.</w:t>
      </w:r>
      <w:r w:rsidRPr="008E469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permEnd w:id="2034259636"/>
    </w:p>
    <w:p w:rsidR="00E43532" w:rsidRPr="00B42718" w:rsidRDefault="00B37228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highlight w:val="yellow"/>
          <w:lang w:val="pt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D230D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 local de execução dos serviços 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 xml:space="preserve">deverá 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ocorrer conforme definido na Requisição de </w:t>
      </w:r>
      <w:r w:rsidR="007A05CE" w:rsidRPr="00B42718">
        <w:rPr>
          <w:rFonts w:asciiTheme="minorHAnsi" w:hAnsiTheme="minorHAnsi" w:cstheme="minorHAnsi"/>
          <w:sz w:val="22"/>
          <w:szCs w:val="22"/>
          <w:highlight w:val="yellow"/>
          <w:lang w:val="pt"/>
        </w:rPr>
        <w:t xml:space="preserve">Compras/Serviços Processo nº </w:t>
      </w:r>
      <w:proofErr w:type="spellStart"/>
      <w:r w:rsidR="007A05CE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xxxxxxxx</w:t>
      </w:r>
      <w:proofErr w:type="spellEnd"/>
      <w:r w:rsidR="007A05CE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/</w:t>
      </w:r>
      <w:proofErr w:type="spellStart"/>
      <w:r w:rsidR="007A05CE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xxxxx</w:t>
      </w:r>
      <w:proofErr w:type="spellEnd"/>
      <w:r w:rsidR="007A05CE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;</w:t>
      </w:r>
      <w:r w:rsid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 xml:space="preserve"> (este campo será preenchido pelo setor de licitações)</w:t>
      </w:r>
    </w:p>
    <w:p w:rsidR="00E43532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 FORNECEDOR deverá informar ao CONSAMU da ocorrência de quaisquer atos, fatos ou circunstâncias que possa atrasar ou impedir </w:t>
      </w:r>
      <w:r w:rsidR="009D230D" w:rsidRPr="00043C67">
        <w:rPr>
          <w:rFonts w:asciiTheme="minorHAnsi" w:hAnsiTheme="minorHAnsi" w:cstheme="minorHAnsi"/>
          <w:sz w:val="22"/>
          <w:szCs w:val="22"/>
          <w:lang w:val="pt"/>
        </w:rPr>
        <w:t>o início da execução dos serviços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>, dentro do prazo previsto de no m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áximo 24 (vinte e quatro) horas;</w:t>
      </w:r>
    </w:p>
    <w:p w:rsidR="00E43532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 tolerância do CONSAMU com qualquer atraso ou inadimplemento por parte da empresa não importará, de forma alguma, em alteração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E43532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ou novação, podendo o Consórcio exercer seus direitos a qualquer tempo.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7A05CE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DAS OBRIGAÇÕES E RESPONSABILIDADES DA CONTRATANTE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Acompanhar e fiscalizar o recebimento dos materiais no prazo e condições estabelecidas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no Termo de Referência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e anexos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Efetuar o pagamento à adjudicatária nos termos do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e anexos;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Aplicar a adjudicatária as sanções regulamentares e contratuais previstas no 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>Termo de Referência e anexos;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Prestar as informações e os esclarecimentos que venham a ser solicitados pela adjudicatár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ia e anexos; 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Dar à adjudicatária as condições necessárias a garantir a execução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7A05CE" w:rsidRPr="00043C67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043C67" w:rsidRDefault="00A8539D" w:rsidP="00043C67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Notificar a adjudicatária, formal e tempestivamente, sobre as irregularidades observadas no cumprimento do contrato. 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DAS OBRIGAÇÕES </w:t>
      </w:r>
      <w:r w:rsidR="009D230D" w:rsidRPr="00043C67">
        <w:rPr>
          <w:rFonts w:asciiTheme="minorHAnsi" w:hAnsiTheme="minorHAnsi" w:cstheme="minorHAnsi"/>
          <w:b/>
          <w:sz w:val="22"/>
          <w:szCs w:val="22"/>
          <w:lang w:val="pt"/>
        </w:rPr>
        <w:t>DA CONTRATADA</w:t>
      </w:r>
    </w:p>
    <w:p w:rsidR="00B42718" w:rsidRPr="00B42718" w:rsidRDefault="00A8539D" w:rsidP="00B42718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highlight w:val="yellow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Responsabilizar-se por todas as despesas diretas ou indiretas tais como impostos, tarifas, taxas, salários, encargos sociais, fiscais, trabalhistas, previdenciários e de ordem de classe, seguros, fretes de </w:t>
      </w:r>
      <w:r w:rsidR="009D230D" w:rsidRPr="00043C67">
        <w:rPr>
          <w:rFonts w:asciiTheme="minorHAnsi" w:hAnsiTheme="minorHAnsi" w:cstheme="minorHAnsi"/>
          <w:sz w:val="22"/>
          <w:szCs w:val="22"/>
          <w:lang w:val="pt"/>
        </w:rPr>
        <w:lastRenderedPageBreak/>
        <w:t>execução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, entre outros, </w:t>
      </w:r>
      <w:r w:rsidR="009D230D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 fim de que o serviço seja prestado </w:t>
      </w:r>
      <w:r w:rsidR="007A05CE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conforme Requisição Compras/Serviços Processo nº ............/.............</w:t>
      </w:r>
      <w:r w:rsidR="009D230D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, Termo de Referência e anexos</w:t>
      </w:r>
      <w:r w:rsidR="007A05CE" w:rsidRP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;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B42718">
        <w:rPr>
          <w:rFonts w:asciiTheme="minorHAnsi" w:hAnsiTheme="minorHAnsi" w:cstheme="minorHAnsi"/>
          <w:color w:val="FF0000"/>
          <w:sz w:val="22"/>
          <w:szCs w:val="22"/>
          <w:highlight w:val="yellow"/>
          <w:lang w:val="pt"/>
        </w:rPr>
        <w:t>(este campo será preenchido pelo setor de licitações)</w:t>
      </w:r>
    </w:p>
    <w:p w:rsidR="00F46765" w:rsidRPr="00043C67" w:rsidRDefault="00A8539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Prestar o serviço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no prazo máximo definido contado da data de recebimento da nota de empenho encaminhada via e-mail, conforme especificações exigidas no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e seus anexos, acompanhado da respectiva Nota Fiscal, na qual constarão indicações referentes </w:t>
      </w:r>
      <w:r w:rsidR="00043C67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aos serviços prestados,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prazo de garantia ou validade, nº do processo de licitação; </w:t>
      </w:r>
    </w:p>
    <w:p w:rsidR="00F46765" w:rsidRPr="00043C67" w:rsidRDefault="00A8539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Fornecer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os serviços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conforme especificação marca e preço registrado na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043C67" w:rsidRDefault="00A8539D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Providenciar a imediata correção de deficiências, falhas ou irregularidades constatadas pelo CONSAMU referente às condições firmadas na 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Fornecer, sempre que solicitado, no prazo máximo de 05 (cinco) dias </w:t>
      </w:r>
      <w:r w:rsidR="00043C67" w:rsidRPr="00043C67">
        <w:rPr>
          <w:rFonts w:asciiTheme="minorHAnsi" w:hAnsiTheme="minorHAnsi" w:cstheme="minorHAnsi"/>
          <w:sz w:val="22"/>
          <w:szCs w:val="22"/>
          <w:lang w:val="pt"/>
        </w:rPr>
        <w:t>úteis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, documentação de habilitação e qualificação cujas validades encontrem-se vencidas.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Prover condições que possibilitem o atendimento das condições firmadas a partir da data da assinatura 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Ressarcir os eventuais prejuízos causados aos órgãos gerenciador (s) e participante (s) e/ou a terceiros, provocados por ineficiência ou irregularidades cometidas na execução das obrigações assumidas na 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Pagar, pontualmente, aos fornecedores e cumprir com as obrigações fiscais, relativos ao material entregue, com base na 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, exonerando a Administração Pública de responsabilidade solidária ou subsidiária por tal pagamento.</w:t>
      </w:r>
    </w:p>
    <w:p w:rsidR="00042F5F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Reparar, corrigir, remover ou substituir, às suas expensas, os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serviços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deste contrato em que forem verificados vícios, defeitos ou incorreções de qualquer natureza, principalmente referentes ao prazo de validade ou de especificação, no prazo máximo de 05 (cinco) dias úteis a contar da notificação para tal; </w:t>
      </w:r>
    </w:p>
    <w:p w:rsidR="00F46765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Informar ao CONSAMU da ocorrência de quaisquer atos, fatos ou circunstâncias que possa atrasar ou impedir a entrega dos produtos, dentro do prazo previsto de no máximo 24 (vinte e quatro) horas; </w:t>
      </w:r>
    </w:p>
    <w:p w:rsidR="00F46765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Indicar preposta para representá-la durante a execução do contrato. </w:t>
      </w:r>
    </w:p>
    <w:p w:rsidR="00F46765" w:rsidRPr="00043C67" w:rsidRDefault="00F46765" w:rsidP="00043C67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DO REGIME DE CONTRATAÇÃO</w:t>
      </w:r>
    </w:p>
    <w:p w:rsidR="00F46765" w:rsidRPr="00043C67" w:rsidRDefault="000B567D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7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.1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A licitação será realizada na modalidade </w:t>
      </w:r>
      <w:r w:rsidR="00A8539D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PROCESSO DE </w:t>
      </w:r>
      <w:r w:rsidR="006C64AF" w:rsidRPr="00043C67">
        <w:rPr>
          <w:rFonts w:asciiTheme="minorHAnsi" w:hAnsiTheme="minorHAnsi" w:cstheme="minorHAnsi"/>
          <w:b/>
          <w:sz w:val="22"/>
          <w:szCs w:val="22"/>
          <w:lang w:val="pt"/>
        </w:rPr>
        <w:t>INEXIGIBILIDADE</w:t>
      </w:r>
      <w:r w:rsidR="00B42718">
        <w:rPr>
          <w:rFonts w:asciiTheme="minorHAnsi" w:hAnsiTheme="minorHAnsi" w:cstheme="minorHAnsi"/>
          <w:b/>
          <w:sz w:val="22"/>
          <w:szCs w:val="22"/>
          <w:lang w:val="pt"/>
        </w:rPr>
        <w:t xml:space="preserve">. </w:t>
      </w: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lastRenderedPageBreak/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DA SUBCONTRATAÇÃO </w:t>
      </w:r>
    </w:p>
    <w:p w:rsidR="00F46765" w:rsidRPr="00043C67" w:rsidRDefault="000B567D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proofErr w:type="gramStart"/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>8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.1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Não</w:t>
      </w:r>
      <w:proofErr w:type="gramEnd"/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será admitida a subcontratação do objeto licitatório. 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PAGAMENTO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Realizado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a prestação de serviços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, o FORNECEDOR emitirá a Nota Fiscal/fatura, sendo que o CONSAMU terá até 30 (trinta) dias após a entrega do documento fiscal com o atesto do fiscal do contrato para efetuar o pagamento;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O FORNECEDOR deverá encaminhar a </w:t>
      </w:r>
      <w:proofErr w:type="gramStart"/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nota(</w:t>
      </w:r>
      <w:proofErr w:type="gramEnd"/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s) Fiscal(s) ao CONSAMU que a (s) receberá provisoriamente, para posterior comprovação de conformidade constante do 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Termo de Referência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, termo de referência e da proposta apresentada, bem como da comprovação da quantidade e qualidade dos mesmos;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Nenhuma fatura que contrarie as especificações contidas nas propostas será liberada antes de executadas as devidas correções e antes que seja apresentada a comprovação do cumprimento das obrigações tributárias e sociais legalmente exigidas;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Em hipótese alguma será feito o pagamento antecipado;</w:t>
      </w:r>
      <w:r w:rsidR="00F46765" w:rsidRPr="00043C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6765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No corpo da nota fiscal/fatura deverá ser informado o número </w:t>
      </w:r>
      <w:r w:rsidR="000234A1" w:rsidRPr="00043C67">
        <w:rPr>
          <w:rFonts w:asciiTheme="minorHAnsi" w:hAnsiTheme="minorHAnsi" w:cstheme="minorHAnsi"/>
          <w:sz w:val="22"/>
          <w:szCs w:val="22"/>
          <w:lang w:val="pt"/>
        </w:rPr>
        <w:t>do Processo de DISPENSA e Contrato</w:t>
      </w: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A nota fiscal/fatura que for apresentada com erro será devolvida ao detentor para retificação ou substituição, contando-se o </w:t>
      </w:r>
      <w:r w:rsidR="007860C4" w:rsidRPr="00043C67">
        <w:rPr>
          <w:rFonts w:asciiTheme="minorHAnsi" w:hAnsiTheme="minorHAnsi" w:cstheme="minorHAnsi"/>
          <w:sz w:val="22"/>
          <w:szCs w:val="22"/>
          <w:lang w:val="pt"/>
        </w:rPr>
        <w:t>prazo estabelecido no subitem “</w:t>
      </w:r>
      <w:r w:rsidR="00BC53A7" w:rsidRPr="00043C67">
        <w:rPr>
          <w:rFonts w:asciiTheme="minorHAnsi" w:hAnsiTheme="minorHAnsi" w:cstheme="minorHAnsi"/>
          <w:sz w:val="22"/>
          <w:szCs w:val="22"/>
          <w:lang w:val="pt"/>
        </w:rPr>
        <w:t>9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.</w:t>
      </w:r>
      <w:proofErr w:type="gramStart"/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1.”</w:t>
      </w:r>
      <w:proofErr w:type="gramEnd"/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proofErr w:type="gramStart"/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novamente</w:t>
      </w:r>
      <w:proofErr w:type="gramEnd"/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, a partir da data de sua nova apresentação;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O pagamento poderá ser realizado através de fatura com código de barras (boleto).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O CONSAMU poderá descontar do pagamento, importâncias que, a qualquer título, lhes sejam devidas pela detentora do Contrato/</w:t>
      </w:r>
      <w:r w:rsidR="00A8539D" w:rsidRPr="00043C67">
        <w:rPr>
          <w:rFonts w:asciiTheme="minorHAnsi" w:hAnsiTheme="minorHAnsi" w:cstheme="minorHAnsi"/>
          <w:sz w:val="22"/>
          <w:szCs w:val="22"/>
          <w:lang w:val="pt"/>
        </w:rPr>
        <w:t>CONTRATO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 xml:space="preserve">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No caso de a execução do objeto desta licitação não estar de acordo com as especificações e demais exigências fixadas neste contrato, o CONSAMU fica desde já autorizada a reter o pagamento em sua integralidade, até que sejam processadas as alterações e retificações determinadas, aplicando-se à adjudicatária as multas previstas.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Durante o período de retenção não correrão juros ou atualizações monetárias de qualquer natureza, sem prejuízo de outras penalidades previstas certame.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DAS SANÇÕES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lastRenderedPageBreak/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A Detentora sujeitar-se-á, em caso de inadimplemento de suas obrigações, definidas neste</w:t>
      </w:r>
      <w:r w:rsidR="00F46765" w:rsidRPr="00043C67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instrumento ou em outros que o complementem, as seguintes multas, sem prejuízo das sanções legais, Art. 86 a 88 da Lei nº 8.666/93 e responsabilidades civil e criminal;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O atraso injustificado na entrega do produto contratado poderá implicar no pagamento de multa isentando em consequência o CONSAMU de quaisquer acréscimos, sob qualquer título, relativos ao período em atraso;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A inexecução parcial do ajuste ou a execução parcial em desacordo com o especificado no </w:t>
      </w:r>
      <w:r w:rsidR="00A8539D" w:rsidRPr="00043C67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A inexecução total do ajuste ou execução total em desacordo com o </w:t>
      </w:r>
      <w:r w:rsidR="00A8539D" w:rsidRPr="00043C67">
        <w:rPr>
          <w:rFonts w:asciiTheme="minorHAnsi" w:eastAsia="Calibri Light" w:hAnsiTheme="minorHAnsi" w:cstheme="minorHAnsi"/>
          <w:sz w:val="22"/>
          <w:szCs w:val="22"/>
        </w:rPr>
        <w:t>Termo de Referência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/contrato, poderá implicar no pagamento de multa; 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A aplicação de multa, a ser determinada pelo CONSAMU, após regular procedimento que garanta a prévia defesa da empresa inadimplente, não exclui a possibilidade de aplicação da sanção prevista no art. 7º da Lei nº. 10.520/02 e alterações; </w:t>
      </w:r>
    </w:p>
    <w:p w:rsidR="00F46765" w:rsidRPr="00043C67" w:rsidRDefault="00F46765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Aos proponentes que convocados dentro do prazo de validade da sua proposta não celebrarem o contrato/</w:t>
      </w:r>
      <w:r w:rsidR="00A8539D" w:rsidRPr="00043C67">
        <w:rPr>
          <w:rFonts w:asciiTheme="minorHAnsi" w:eastAsia="Calibri Light" w:hAnsiTheme="minorHAnsi" w:cstheme="minorHAnsi"/>
          <w:sz w:val="22"/>
          <w:szCs w:val="22"/>
        </w:rPr>
        <w:t>CONTRATO</w:t>
      </w:r>
      <w:r w:rsidRPr="00043C67">
        <w:rPr>
          <w:rFonts w:asciiTheme="minorHAnsi" w:eastAsia="Calibri Light" w:hAnsiTheme="minorHAnsi" w:cstheme="minorHAnsi"/>
          <w:sz w:val="22"/>
          <w:szCs w:val="22"/>
        </w:rPr>
        <w:t>, deixarem de entregar ou apresentarem documentação falsa, exigida para a licitação, ensejarem o retardamento da execução do certame, não mantiverem a proposta, falharem ou fraudarem na execução do contrato, comportarem-se de modo inidôneo, fizerem declaração falsa ou cometerem fraude fiscal, poderão ser aplicadas, conforme o caso, as seguintes sanções, sem prejuízo da reparação dos danos causados CONSAMU pelo infrator:</w:t>
      </w:r>
    </w:p>
    <w:p w:rsidR="00F46765" w:rsidRPr="00043C67" w:rsidRDefault="007A05CE" w:rsidP="00043C67">
      <w:pPr>
        <w:widowControl/>
        <w:numPr>
          <w:ilvl w:val="0"/>
          <w:numId w:val="2"/>
        </w:numPr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proofErr w:type="gramStart"/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advertência</w:t>
      </w:r>
      <w:proofErr w:type="gramEnd"/>
      <w:r w:rsidR="00F46765" w:rsidRPr="00043C67">
        <w:rPr>
          <w:rFonts w:asciiTheme="minorHAnsi" w:eastAsia="Calibri Light" w:hAnsiTheme="minorHAnsi" w:cstheme="minorHAnsi"/>
          <w:i/>
          <w:sz w:val="22"/>
          <w:szCs w:val="22"/>
        </w:rPr>
        <w:t>;</w:t>
      </w:r>
    </w:p>
    <w:p w:rsidR="007A05CE" w:rsidRPr="00043C67" w:rsidRDefault="007A05CE" w:rsidP="00043C67">
      <w:pPr>
        <w:widowControl/>
        <w:numPr>
          <w:ilvl w:val="0"/>
          <w:numId w:val="2"/>
        </w:numPr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proofErr w:type="gramStart"/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multa</w:t>
      </w:r>
      <w:proofErr w:type="gramEnd"/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;</w:t>
      </w:r>
    </w:p>
    <w:p w:rsidR="007A05CE" w:rsidRPr="00043C67" w:rsidRDefault="007A05CE" w:rsidP="00043C67">
      <w:pPr>
        <w:widowControl/>
        <w:numPr>
          <w:ilvl w:val="0"/>
          <w:numId w:val="2"/>
        </w:numPr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proofErr w:type="gramStart"/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suspensão</w:t>
      </w:r>
      <w:proofErr w:type="gramEnd"/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 temporária do direito de licitar, de contratar com a Administração pelo prazo de até 02 (dois) anos;</w:t>
      </w:r>
    </w:p>
    <w:p w:rsidR="00F46765" w:rsidRPr="00043C67" w:rsidRDefault="007A05CE" w:rsidP="00043C67">
      <w:pPr>
        <w:widowControl/>
        <w:numPr>
          <w:ilvl w:val="0"/>
          <w:numId w:val="2"/>
        </w:numPr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b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Pr="00043C67">
        <w:rPr>
          <w:rFonts w:asciiTheme="minorHAnsi" w:eastAsia="Calibri Light" w:hAnsiTheme="minorHAnsi" w:cstheme="minorHAnsi"/>
          <w:sz w:val="22"/>
          <w:szCs w:val="22"/>
        </w:rPr>
        <w:t>D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eclaração de inidoneidade para licitar e contratar com a Administração Pública enquanto perdurarem os motivos determinantes da punição ou até que seja promovida a reabilitação perante a própria autoridade que aplicou a penalidade;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Nenhuma sanção será aplicada sem o devido processo administrativo, que prevê defesa</w:t>
      </w:r>
      <w:r w:rsidR="00F46765" w:rsidRPr="00043C67">
        <w:rPr>
          <w:rFonts w:asciiTheme="minorHAnsi" w:eastAsia="Calibri Light" w:hAnsiTheme="minorHAnsi" w:cstheme="minorHAnsi"/>
          <w:b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prévia do interessado e recurso nos prazos definidos em lei, sendo-lhe franqueada vista ao processo.</w:t>
      </w:r>
    </w:p>
    <w:p w:rsidR="00F46765" w:rsidRPr="00043C67" w:rsidRDefault="007A05CE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As penalidades contratuais poderão ser: advertência, multa, rescisão de contrato/</w:t>
      </w:r>
      <w:r w:rsidR="00A8539D" w:rsidRPr="00043C67">
        <w:rPr>
          <w:rFonts w:asciiTheme="minorHAnsi" w:eastAsia="Calibri Light" w:hAnsiTheme="minorHAnsi" w:cstheme="minorHAnsi"/>
          <w:sz w:val="22"/>
          <w:szCs w:val="22"/>
        </w:rPr>
        <w:t>CONTRATO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, declaração de inidoneidade e suspensão temporária de participação em licitação. Essas penalidades poderão ser aplicadas a critério da CONTRATANTE.</w:t>
      </w:r>
    </w:p>
    <w:p w:rsidR="00043C67" w:rsidRPr="00043C67" w:rsidRDefault="00043C67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Será aplicada multa nas seguintes condições: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lastRenderedPageBreak/>
        <w:t>No caso de atraso injustificado na entrega de parte ou do total de item empenhado, será aplicada multa de 0,5% (meio por cento) sobre o valor da parcela inadimplida do item, por dia útil de atraso, até o limite de 10 (dez) dias úteis;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novo atraso injustificado na entrega de parte ou do total do mesmo ou de outro item empenhado, referente à mesma ARP ou Contrato do item da alínea anterior, será configurada a reincidência de atraso, sendo aplicada a multa de 1,0% (um por cento) sobre o valor da parcela inadimplida, por dia útil de atraso, até o limite de 10 (dez) dias úteis;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inexecução parcial do item empenhado, configurada quando houver atraso injustificado para entrega de parte divisível do item empenhado que supere o prazo máximo de 10 (dez) dias úteis estabelecido na alínea “a”, será aplicada multa de até 15% (quinze por cento) sobre o valor da parte inadimplida;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nova inexecução parcial do mesmo ou de outro item empenhado, referente à mesma ARP ou Contrato do item da alínea anterior, será configurada a reincidência de inexecução parcial, sendo aplicada a multa de até 20% (vinte por cento) sobre o valor da parte inadimplida;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inexecução total do item empenhado, configurada quando houver atraso injustificado para entrega total do item empenhado que supere o prazo máximo de 10 (dez) dias úteis estabelecido na alínea “a”, será aplicada multa de até 30% (trinta por cento) sobre o valor total do item empenhado;</w:t>
      </w:r>
    </w:p>
    <w:p w:rsidR="00043C67" w:rsidRPr="00043C67" w:rsidRDefault="00043C67" w:rsidP="00043C67">
      <w:pPr>
        <w:pStyle w:val="PargrafodaLista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No caso de nova inexecução total do mesmo ou de outro item empenhado, referente à mesma ARP ou Contrato da alínea anterior, será configurada a reincidência de inexecução total, sendo aplicada a multa de até 35% (trinta e cinco por cento) sobre o valor total do item empenhado.</w:t>
      </w:r>
    </w:p>
    <w:p w:rsidR="00043C67" w:rsidRPr="00043C67" w:rsidRDefault="00043C67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Pelo descumprimento injustificado de outras obrigações que não configurem atraso ou inexecução total ou parcial do objeto, será aplicada multa de 0,2% (zero vírgula dois por cento) sobre o valor total do pedido;</w:t>
      </w:r>
    </w:p>
    <w:p w:rsidR="00043C67" w:rsidRPr="00043C67" w:rsidRDefault="00043C67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Em caso de reincidência, será aplicada a multa de 0,4% (zero vírgula quatro por cento) sobre o valor total do pedido.</w:t>
      </w:r>
    </w:p>
    <w:p w:rsidR="00043C67" w:rsidRPr="00043C67" w:rsidRDefault="00043C67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>A fixação da multa compensatória referida nas alíneas “d, e, f” no item 10.9 não obsta o ajuizamento de demanda buscando indenização suplementar em favor do CONSAMU, sendo o dano superior ao percentual referido;</w:t>
      </w:r>
    </w:p>
    <w:p w:rsidR="00043C67" w:rsidRPr="00043C67" w:rsidRDefault="00043C67" w:rsidP="00043C67">
      <w:pPr>
        <w:pStyle w:val="PargrafodaLista"/>
        <w:widowControl/>
        <w:numPr>
          <w:ilvl w:val="1"/>
          <w:numId w:val="7"/>
        </w:numPr>
        <w:suppressAutoHyphens w:val="0"/>
        <w:spacing w:line="360" w:lineRule="auto"/>
        <w:ind w:firstLine="8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O valor da multa poderá ser descontado da fatura devida ao fornecedor;</w:t>
      </w:r>
    </w:p>
    <w:p w:rsidR="00043C67" w:rsidRDefault="00043C67" w:rsidP="00043C67">
      <w:pPr>
        <w:pStyle w:val="PargrafodaLista"/>
        <w:widowControl/>
        <w:numPr>
          <w:ilvl w:val="1"/>
          <w:numId w:val="7"/>
        </w:numPr>
        <w:suppressAutoHyphens w:val="0"/>
        <w:spacing w:line="360" w:lineRule="auto"/>
        <w:ind w:left="0" w:firstLine="567"/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Se o valor da fatura for insuficiente, fica o fornecedor obrigado a recolher a importância devida no prazo de 15 (quinze) dias, contados da comunicação oficial.</w:t>
      </w:r>
    </w:p>
    <w:p w:rsidR="00AB74AC" w:rsidRPr="00043C67" w:rsidRDefault="00AB74AC" w:rsidP="00AB74AC">
      <w:pPr>
        <w:pStyle w:val="PargrafodaLista"/>
        <w:widowControl/>
        <w:suppressAutoHyphens w:val="0"/>
        <w:spacing w:line="360" w:lineRule="auto"/>
        <w:ind w:left="567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944C2C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944C2C" w:rsidRPr="00043C67">
        <w:rPr>
          <w:rFonts w:asciiTheme="minorHAnsi" w:hAnsiTheme="minorHAnsi" w:cstheme="minorHAnsi"/>
          <w:b/>
          <w:sz w:val="22"/>
          <w:szCs w:val="22"/>
          <w:lang w:val="pt"/>
        </w:rPr>
        <w:t>DO REAJUSTE</w:t>
      </w:r>
    </w:p>
    <w:p w:rsidR="00E43532" w:rsidRPr="00043C67" w:rsidRDefault="00E43532" w:rsidP="00043C67">
      <w:pPr>
        <w:pStyle w:val="Nivel1"/>
        <w:numPr>
          <w:ilvl w:val="1"/>
          <w:numId w:val="1"/>
        </w:numPr>
        <w:spacing w:before="0" w:after="0" w:line="360" w:lineRule="auto"/>
        <w:ind w:left="0" w:firstLine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43C67">
        <w:rPr>
          <w:rFonts w:asciiTheme="minorHAnsi" w:hAnsiTheme="minorHAnsi" w:cstheme="minorHAnsi"/>
          <w:b w:val="0"/>
          <w:bCs/>
          <w:sz w:val="22"/>
          <w:szCs w:val="22"/>
        </w:rPr>
        <w:t xml:space="preserve"> Os preços são fixos e irreajustáveis no prazo de um ano contado da data de publicação do contrato. </w:t>
      </w:r>
    </w:p>
    <w:p w:rsidR="00E43532" w:rsidRPr="00043C67" w:rsidRDefault="00E43532" w:rsidP="00043C67">
      <w:pPr>
        <w:pStyle w:val="Nivel1"/>
        <w:numPr>
          <w:ilvl w:val="1"/>
          <w:numId w:val="1"/>
        </w:numPr>
        <w:spacing w:before="0" w:after="0" w:line="360" w:lineRule="auto"/>
        <w:ind w:left="0" w:firstLine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43C67">
        <w:rPr>
          <w:rFonts w:asciiTheme="minorHAnsi" w:hAnsiTheme="minorHAnsi" w:cstheme="minorHAnsi"/>
          <w:b w:val="0"/>
          <w:bCs/>
          <w:sz w:val="22"/>
          <w:szCs w:val="22"/>
        </w:rPr>
        <w:t xml:space="preserve"> Dentro do prazo de vigência do contrato e mediante solicitação da contratada, os preços contratados poderão sofrer reajuste após o intervalo de um ano, aplicando-se o índice </w:t>
      </w:r>
      <w:r w:rsidRPr="00043C67">
        <w:rPr>
          <w:rFonts w:asciiTheme="minorHAnsi" w:hAnsiTheme="minorHAnsi" w:cstheme="minorHAnsi"/>
          <w:bCs/>
          <w:sz w:val="22"/>
          <w:szCs w:val="22"/>
        </w:rPr>
        <w:t>IPCA/IBGE</w:t>
      </w:r>
      <w:r w:rsidRPr="00043C67">
        <w:rPr>
          <w:rFonts w:asciiTheme="minorHAnsi" w:hAnsiTheme="minorHAnsi" w:cstheme="minorHAnsi"/>
          <w:b w:val="0"/>
          <w:bCs/>
          <w:sz w:val="22"/>
          <w:szCs w:val="22"/>
        </w:rPr>
        <w:t xml:space="preserve"> ou outro índice que vier substituí-lo nos termos do art. </w:t>
      </w:r>
      <w:bookmarkStart w:id="1" w:name="_GoBack"/>
      <w:bookmarkEnd w:id="1"/>
      <w:r w:rsidRPr="00043C67">
        <w:rPr>
          <w:rFonts w:asciiTheme="minorHAnsi" w:hAnsiTheme="minorHAnsi" w:cstheme="minorHAnsi"/>
          <w:b w:val="0"/>
          <w:bCs/>
          <w:sz w:val="22"/>
          <w:szCs w:val="22"/>
        </w:rPr>
        <w:t>65 da Lei nº 8.666/93 estabelecido em comum acordo pelas partes exclusivamente para as obrigações iniciadas e concluídas após a ocorrência da anualidade.</w:t>
      </w:r>
    </w:p>
    <w:p w:rsidR="007A05CE" w:rsidRPr="00043C67" w:rsidRDefault="007A05CE" w:rsidP="00043C67">
      <w:pPr>
        <w:spacing w:line="360" w:lineRule="auto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E80A02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DA GARANTIA DE E DA GARANTIA DE EXECUÇÃO</w:t>
      </w:r>
    </w:p>
    <w:p w:rsidR="00F46765" w:rsidRPr="00043C67" w:rsidRDefault="00F46765" w:rsidP="00043C67">
      <w:pPr>
        <w:pStyle w:val="Nivel1"/>
        <w:numPr>
          <w:ilvl w:val="1"/>
          <w:numId w:val="1"/>
        </w:numPr>
        <w:spacing w:before="0" w:after="0" w:line="360" w:lineRule="auto"/>
        <w:ind w:left="0" w:firstLine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43C67">
        <w:rPr>
          <w:rFonts w:asciiTheme="minorHAnsi" w:hAnsiTheme="minorHAnsi" w:cstheme="minorHAnsi"/>
          <w:b w:val="0"/>
          <w:bCs/>
          <w:sz w:val="22"/>
          <w:szCs w:val="22"/>
        </w:rPr>
        <w:t xml:space="preserve">Não haverá exigência de garantia contratual da execução. </w:t>
      </w:r>
    </w:p>
    <w:p w:rsidR="00042F5F" w:rsidRPr="00043C67" w:rsidRDefault="00042F5F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DOS RECURSOS ORÇAMENTÁRIOS </w:t>
      </w:r>
    </w:p>
    <w:p w:rsidR="00F46765" w:rsidRPr="00043C67" w:rsidRDefault="00BC53A7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  <w:proofErr w:type="gramStart"/>
      <w:r w:rsidRPr="00043C67">
        <w:rPr>
          <w:rFonts w:asciiTheme="minorHAnsi" w:eastAsia="Calibri Light" w:hAnsiTheme="minorHAnsi" w:cstheme="minorHAnsi"/>
          <w:b/>
          <w:sz w:val="22"/>
          <w:szCs w:val="22"/>
        </w:rPr>
        <w:t>13.1</w:t>
      </w:r>
      <w:r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>As</w:t>
      </w:r>
      <w:proofErr w:type="gramEnd"/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 despesas decorrentes </w:t>
      </w:r>
      <w:r w:rsidR="000234A1" w:rsidRPr="00043C67">
        <w:rPr>
          <w:rFonts w:asciiTheme="minorHAnsi" w:eastAsia="Calibri Light" w:hAnsiTheme="minorHAnsi" w:cstheme="minorHAnsi"/>
          <w:sz w:val="22"/>
          <w:szCs w:val="22"/>
        </w:rPr>
        <w:t>desta contratação</w:t>
      </w:r>
      <w:r w:rsidR="00F46765" w:rsidRPr="00043C67">
        <w:rPr>
          <w:rFonts w:asciiTheme="minorHAnsi" w:eastAsia="Calibri Light" w:hAnsiTheme="minorHAnsi" w:cstheme="minorHAnsi"/>
          <w:sz w:val="22"/>
          <w:szCs w:val="22"/>
        </w:rPr>
        <w:t xml:space="preserve"> correrão conforme as dotações especificadas na </w:t>
      </w:r>
      <w:r w:rsidR="00F46765" w:rsidRPr="00B42718">
        <w:rPr>
          <w:rFonts w:asciiTheme="minorHAnsi" w:eastAsia="Calibri Light" w:hAnsiTheme="minorHAnsi" w:cstheme="minorHAnsi"/>
          <w:sz w:val="22"/>
          <w:szCs w:val="22"/>
          <w:highlight w:val="yellow"/>
        </w:rPr>
        <w:t xml:space="preserve">Requisição de Compras/Serviços </w:t>
      </w:r>
      <w:r w:rsidR="00F46765" w:rsidRPr="00B42718">
        <w:rPr>
          <w:rFonts w:asciiTheme="minorHAnsi" w:eastAsia="Calibri Light" w:hAnsiTheme="minorHAnsi" w:cstheme="minorHAnsi"/>
          <w:color w:val="FF0000"/>
          <w:sz w:val="22"/>
          <w:szCs w:val="22"/>
          <w:highlight w:val="yellow"/>
        </w:rPr>
        <w:t xml:space="preserve">Processo nº </w:t>
      </w:r>
      <w:proofErr w:type="spellStart"/>
      <w:r w:rsidR="00F46765" w:rsidRPr="00B42718">
        <w:rPr>
          <w:rFonts w:asciiTheme="minorHAnsi" w:eastAsia="Calibri Light" w:hAnsiTheme="minorHAnsi" w:cstheme="minorHAnsi"/>
          <w:color w:val="FF0000"/>
          <w:sz w:val="22"/>
          <w:szCs w:val="22"/>
          <w:highlight w:val="yellow"/>
        </w:rPr>
        <w:t>xxx</w:t>
      </w:r>
      <w:proofErr w:type="spellEnd"/>
      <w:r w:rsidR="00F46765" w:rsidRPr="00B42718">
        <w:rPr>
          <w:rFonts w:asciiTheme="minorHAnsi" w:eastAsia="Calibri Light" w:hAnsiTheme="minorHAnsi" w:cstheme="minorHAnsi"/>
          <w:color w:val="FF0000"/>
          <w:sz w:val="22"/>
          <w:szCs w:val="22"/>
          <w:highlight w:val="yellow"/>
        </w:rPr>
        <w:t>/</w:t>
      </w:r>
      <w:proofErr w:type="spellStart"/>
      <w:r w:rsidR="00F46765" w:rsidRPr="00B42718">
        <w:rPr>
          <w:rFonts w:asciiTheme="minorHAnsi" w:eastAsia="Calibri Light" w:hAnsiTheme="minorHAnsi" w:cstheme="minorHAnsi"/>
          <w:color w:val="FF0000"/>
          <w:sz w:val="22"/>
          <w:szCs w:val="22"/>
          <w:highlight w:val="yellow"/>
        </w:rPr>
        <w:t>xxxx</w:t>
      </w:r>
      <w:proofErr w:type="spellEnd"/>
      <w:r w:rsidR="00944C2C" w:rsidRPr="00B42718">
        <w:rPr>
          <w:rFonts w:asciiTheme="minorHAnsi" w:eastAsia="Calibri Light" w:hAnsiTheme="minorHAnsi" w:cstheme="minorHAnsi"/>
          <w:sz w:val="22"/>
          <w:szCs w:val="22"/>
          <w:highlight w:val="yellow"/>
        </w:rPr>
        <w:t>.</w:t>
      </w:r>
      <w:r w:rsidR="00944C2C" w:rsidRPr="00043C67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="00F46765" w:rsidRPr="00B42718">
        <w:rPr>
          <w:rFonts w:asciiTheme="minorHAnsi" w:eastAsia="Calibri Light" w:hAnsiTheme="minorHAnsi" w:cstheme="minorHAnsi"/>
          <w:color w:val="FF0000"/>
          <w:sz w:val="22"/>
          <w:szCs w:val="22"/>
        </w:rPr>
        <w:t xml:space="preserve"> </w:t>
      </w:r>
      <w:r w:rsidR="00B42718" w:rsidRPr="00B42718">
        <w:rPr>
          <w:rFonts w:asciiTheme="minorHAnsi" w:eastAsia="Calibri Light" w:hAnsiTheme="minorHAnsi" w:cstheme="minorHAnsi"/>
          <w:color w:val="FF0000"/>
          <w:sz w:val="22"/>
          <w:szCs w:val="22"/>
        </w:rPr>
        <w:t>(</w:t>
      </w:r>
      <w:proofErr w:type="gramStart"/>
      <w:r w:rsidR="00B42718" w:rsidRPr="00B42718">
        <w:rPr>
          <w:rFonts w:asciiTheme="minorHAnsi" w:eastAsia="Calibri Light" w:hAnsiTheme="minorHAnsi" w:cstheme="minorHAnsi"/>
          <w:color w:val="FF0000"/>
          <w:sz w:val="22"/>
          <w:szCs w:val="22"/>
        </w:rPr>
        <w:t>este</w:t>
      </w:r>
      <w:proofErr w:type="gramEnd"/>
      <w:r w:rsidR="00B42718" w:rsidRPr="00B42718">
        <w:rPr>
          <w:rFonts w:asciiTheme="minorHAnsi" w:eastAsia="Calibri Light" w:hAnsiTheme="minorHAnsi" w:cstheme="minorHAnsi"/>
          <w:color w:val="FF0000"/>
          <w:sz w:val="22"/>
          <w:szCs w:val="22"/>
        </w:rPr>
        <w:t xml:space="preserve"> campo será preenchido pelo setor de licitações)</w:t>
      </w:r>
    </w:p>
    <w:p w:rsidR="00365240" w:rsidRPr="00043C67" w:rsidRDefault="00365240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RESPONSÁVEL</w:t>
      </w:r>
    </w:p>
    <w:p w:rsidR="00F46765" w:rsidRPr="00043C67" w:rsidRDefault="00E80A02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Os representantes do CONSAMU, fiscal e suplente, especialmente designados por documento oficial (Portaria) anexo ao processo serão os responsáveis pelo acompanhamento e fiscalização da execução deste serviço, oportunidade em que serão atestadas as notas fiscais/faturas.</w:t>
      </w:r>
    </w:p>
    <w:p w:rsidR="00365240" w:rsidRPr="00043C67" w:rsidRDefault="00365240" w:rsidP="00043C67">
      <w:pPr>
        <w:widowControl/>
        <w:suppressAutoHyphens w:val="0"/>
        <w:spacing w:line="360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</w:p>
    <w:p w:rsidR="00F46765" w:rsidRPr="00043C67" w:rsidRDefault="000B567D" w:rsidP="00043C67">
      <w:pPr>
        <w:widowControl/>
        <w:numPr>
          <w:ilvl w:val="0"/>
          <w:numId w:val="1"/>
        </w:numPr>
        <w:suppressAutoHyphens w:val="0"/>
        <w:spacing w:after="120" w:line="360" w:lineRule="auto"/>
        <w:ind w:left="0" w:firstLine="284"/>
        <w:jc w:val="both"/>
        <w:rPr>
          <w:rFonts w:asciiTheme="minorHAnsi" w:hAnsiTheme="minorHAnsi" w:cstheme="minorHAnsi"/>
          <w:b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b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b/>
          <w:sz w:val="22"/>
          <w:szCs w:val="22"/>
          <w:lang w:val="pt"/>
        </w:rPr>
        <w:t>CONSIDERAÇÕES FINAIS</w:t>
      </w:r>
    </w:p>
    <w:p w:rsidR="00F46765" w:rsidRPr="00043C67" w:rsidRDefault="00E80A02" w:rsidP="00043C67">
      <w:pPr>
        <w:widowControl/>
        <w:numPr>
          <w:ilvl w:val="1"/>
          <w:numId w:val="1"/>
        </w:numPr>
        <w:suppressAutoHyphens w:val="0"/>
        <w:spacing w:line="360" w:lineRule="auto"/>
        <w:ind w:left="0" w:firstLine="284"/>
        <w:jc w:val="both"/>
        <w:rPr>
          <w:rFonts w:asciiTheme="minorHAnsi" w:hAnsiTheme="minorHAnsi" w:cstheme="minorHAnsi"/>
          <w:sz w:val="22"/>
          <w:szCs w:val="22"/>
          <w:lang w:val="pt"/>
        </w:rPr>
      </w:pPr>
      <w:r w:rsidRPr="00043C67">
        <w:rPr>
          <w:rFonts w:asciiTheme="minorHAnsi" w:hAnsiTheme="minorHAnsi" w:cstheme="minorHAnsi"/>
          <w:sz w:val="22"/>
          <w:szCs w:val="22"/>
          <w:lang w:val="pt"/>
        </w:rPr>
        <w:t xml:space="preserve"> </w:t>
      </w:r>
      <w:r w:rsidR="00F46765" w:rsidRPr="00043C67">
        <w:rPr>
          <w:rFonts w:asciiTheme="minorHAnsi" w:hAnsiTheme="minorHAnsi" w:cstheme="minorHAnsi"/>
          <w:sz w:val="22"/>
          <w:szCs w:val="22"/>
          <w:lang w:val="pt"/>
        </w:rPr>
        <w:t>O valor estimado foi efetuado com base no valor de mercado.</w:t>
      </w:r>
    </w:p>
    <w:p w:rsidR="00F46765" w:rsidRPr="00043C67" w:rsidRDefault="00F46765" w:rsidP="00043C67">
      <w:pPr>
        <w:pStyle w:val="PargrafodaLista"/>
        <w:spacing w:line="360" w:lineRule="auto"/>
        <w:ind w:left="0" w:firstLine="284"/>
        <w:jc w:val="right"/>
        <w:rPr>
          <w:rFonts w:asciiTheme="minorHAnsi" w:hAnsiTheme="minorHAnsi" w:cstheme="minorHAnsi"/>
          <w:sz w:val="22"/>
          <w:szCs w:val="22"/>
        </w:rPr>
      </w:pPr>
      <w:r w:rsidRPr="00043C67">
        <w:rPr>
          <w:rFonts w:asciiTheme="minorHAnsi" w:hAnsiTheme="minorHAnsi" w:cstheme="minorHAnsi"/>
          <w:sz w:val="22"/>
          <w:szCs w:val="22"/>
        </w:rPr>
        <w:t xml:space="preserve">Cascavel - PR, </w:t>
      </w:r>
      <w:permStart w:id="1927166992" w:edGrp="everyone"/>
      <w:proofErr w:type="spellStart"/>
      <w:r w:rsidRPr="00043C67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043C6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43C67">
        <w:rPr>
          <w:rFonts w:asciiTheme="minorHAnsi" w:hAnsiTheme="minorHAnsi" w:cstheme="minorHAnsi"/>
          <w:sz w:val="22"/>
          <w:szCs w:val="22"/>
        </w:rPr>
        <w:t>xxxxxxxxxx</w:t>
      </w:r>
      <w:proofErr w:type="spellEnd"/>
      <w:r w:rsidRPr="00043C67">
        <w:rPr>
          <w:rFonts w:asciiTheme="minorHAnsi" w:hAnsiTheme="minorHAnsi" w:cstheme="minorHAnsi"/>
          <w:sz w:val="22"/>
          <w:szCs w:val="22"/>
        </w:rPr>
        <w:t xml:space="preserve"> de 2021.</w:t>
      </w:r>
      <w:permEnd w:id="1927166992"/>
    </w:p>
    <w:p w:rsidR="00982D6C" w:rsidRPr="00043C67" w:rsidRDefault="00982D6C" w:rsidP="00043C67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3C67">
        <w:rPr>
          <w:rFonts w:asciiTheme="minorHAnsi" w:hAnsiTheme="minorHAnsi" w:cstheme="minorHAnsi"/>
          <w:sz w:val="22"/>
          <w:szCs w:val="22"/>
        </w:rPr>
        <w:t xml:space="preserve">(Assinado Digitalmente) </w:t>
      </w:r>
    </w:p>
    <w:p w:rsidR="00982D6C" w:rsidRPr="00043C67" w:rsidRDefault="00982D6C" w:rsidP="00043C6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permStart w:id="1735213045" w:edGrp="everyone"/>
      <w:r w:rsidRPr="00043C67">
        <w:rPr>
          <w:rFonts w:asciiTheme="minorHAnsi" w:hAnsiTheme="minorHAnsi" w:cstheme="minorHAnsi"/>
          <w:b/>
          <w:sz w:val="22"/>
          <w:szCs w:val="22"/>
        </w:rPr>
        <w:t xml:space="preserve">Nome do Responsável Emissor </w:t>
      </w:r>
    </w:p>
    <w:p w:rsidR="00982D6C" w:rsidRPr="00043C67" w:rsidRDefault="00982D6C" w:rsidP="00043C6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43C67">
        <w:rPr>
          <w:rFonts w:asciiTheme="minorHAnsi" w:hAnsiTheme="minorHAnsi" w:cstheme="minorHAnsi"/>
          <w:b/>
          <w:sz w:val="22"/>
          <w:szCs w:val="22"/>
        </w:rPr>
        <w:t xml:space="preserve">Matrícula </w:t>
      </w:r>
    </w:p>
    <w:p w:rsidR="001D53E3" w:rsidRPr="00043C67" w:rsidRDefault="00982D6C" w:rsidP="00B4271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3C67">
        <w:rPr>
          <w:rFonts w:asciiTheme="minorHAnsi" w:hAnsiTheme="minorHAnsi" w:cstheme="minorHAnsi"/>
          <w:b/>
          <w:sz w:val="22"/>
          <w:szCs w:val="22"/>
        </w:rPr>
        <w:t xml:space="preserve">Cargo </w:t>
      </w:r>
      <w:permEnd w:id="1735213045"/>
    </w:p>
    <w:sectPr w:rsidR="001D53E3" w:rsidRPr="00043C67" w:rsidSect="00923E5E">
      <w:headerReference w:type="default" r:id="rId7"/>
      <w:footerReference w:type="default" r:id="rId8"/>
      <w:pgSz w:w="11906" w:h="16838"/>
      <w:pgMar w:top="567" w:right="991" w:bottom="1134" w:left="1701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65" w:rsidRDefault="00F46765" w:rsidP="00F46765">
      <w:r>
        <w:separator/>
      </w:r>
    </w:p>
  </w:endnote>
  <w:endnote w:type="continuationSeparator" w:id="0">
    <w:p w:rsidR="00F46765" w:rsidRDefault="00F46765" w:rsidP="00F4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069710"/>
      <w:docPartObj>
        <w:docPartGallery w:val="Page Numbers (Bottom of Page)"/>
        <w:docPartUnique/>
      </w:docPartObj>
    </w:sdtPr>
    <w:sdtEndPr/>
    <w:sdtContent>
      <w:sdt>
        <w:sdtPr>
          <w:id w:val="-308025502"/>
          <w:docPartObj>
            <w:docPartGallery w:val="Page Numbers (Top of Page)"/>
            <w:docPartUnique/>
          </w:docPartObj>
        </w:sdtPr>
        <w:sdtEndPr/>
        <w:sdtContent>
          <w:p w:rsidR="00923E5E" w:rsidRPr="00B508A1" w:rsidRDefault="00C043C8" w:rsidP="00923E5E">
            <w:pPr>
              <w:widowControl/>
              <w:suppressLineNumbers/>
              <w:tabs>
                <w:tab w:val="center" w:pos="4818"/>
                <w:tab w:val="right" w:pos="9637"/>
              </w:tabs>
              <w:suppressAutoHyphens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923E5E" w:rsidRPr="00B508A1" w:rsidRDefault="00923E5E" w:rsidP="00923E5E">
            <w:pPr>
              <w:widowControl/>
              <w:suppressLineNumbers/>
              <w:tabs>
                <w:tab w:val="center" w:pos="4535"/>
                <w:tab w:val="center" w:pos="4818"/>
                <w:tab w:val="right" w:pos="9071"/>
                <w:tab w:val="right" w:pos="9637"/>
              </w:tabs>
              <w:suppressAutoHyphens w:val="0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B508A1">
              <w:rPr>
                <w:rFonts w:ascii="Calibri" w:hAnsi="Calibri"/>
                <w:b/>
                <w:sz w:val="20"/>
                <w:szCs w:val="20"/>
              </w:rPr>
              <w:t xml:space="preserve">Rua Uruguai,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nº </w:t>
            </w:r>
            <w:r w:rsidRPr="00B508A1">
              <w:rPr>
                <w:rFonts w:ascii="Calibri" w:hAnsi="Calibri"/>
                <w:b/>
                <w:sz w:val="20"/>
                <w:szCs w:val="20"/>
              </w:rPr>
              <w:t>283 – Bairro Alto Alegre – CEP 85.805-010 – Cascavel – PR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B508A1">
              <w:rPr>
                <w:rFonts w:ascii="Calibri" w:hAnsi="Calibri"/>
                <w:b/>
                <w:sz w:val="20"/>
                <w:szCs w:val="20"/>
              </w:rPr>
              <w:t>www.consamu.com.br</w:t>
            </w:r>
          </w:p>
          <w:p w:rsidR="007A05CE" w:rsidRDefault="00923E5E">
            <w:pPr>
              <w:pStyle w:val="Rodap"/>
              <w:jc w:val="right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A05CE"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ágina </w: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043C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7A05CE" w:rsidRPr="007A05C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043C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7</w:t>
            </w:r>
            <w:r w:rsidR="007A05CE" w:rsidRPr="007A05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46765" w:rsidRDefault="00F46765" w:rsidP="00F46765">
    <w:pPr>
      <w:pStyle w:val="Rodap"/>
      <w:tabs>
        <w:tab w:val="clear" w:pos="4252"/>
        <w:tab w:val="clear" w:pos="8504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65" w:rsidRDefault="00F46765" w:rsidP="00F46765">
      <w:r>
        <w:separator/>
      </w:r>
    </w:p>
  </w:footnote>
  <w:footnote w:type="continuationSeparator" w:id="0">
    <w:p w:rsidR="00F46765" w:rsidRDefault="00F46765" w:rsidP="00F4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5" w:rsidRDefault="00F46765" w:rsidP="00F46765">
    <w:pPr>
      <w:pStyle w:val="Cabealho"/>
      <w:ind w:right="-2"/>
      <w:jc w:val="center"/>
    </w:pPr>
    <w:r w:rsidRPr="00794479">
      <w:rPr>
        <w:noProof/>
      </w:rPr>
      <w:drawing>
        <wp:inline distT="0" distB="0" distL="0" distR="0" wp14:anchorId="63EEAD4F" wp14:editId="567B94DA">
          <wp:extent cx="952500" cy="115252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7BD3EE7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37B3E"/>
    <w:multiLevelType w:val="multilevel"/>
    <w:tmpl w:val="AA28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BA08CB"/>
    <w:multiLevelType w:val="hybridMultilevel"/>
    <w:tmpl w:val="7D441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1226"/>
    <w:multiLevelType w:val="multilevel"/>
    <w:tmpl w:val="3CCEFF9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MrG/Xdj6MO5iuWCRkHglB43sdIBrrmOGPo4AVcb34jpytLd6xuS70DsmQTyWXii47OHyznEoWG7zJn0zHcLNA==" w:salt="o3dU/CVuQe9bnFLxf5T5jQ=="/>
  <w:defaultTabStop w:val="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03"/>
    <w:rsid w:val="000204F8"/>
    <w:rsid w:val="000234A1"/>
    <w:rsid w:val="00042F5F"/>
    <w:rsid w:val="00043C67"/>
    <w:rsid w:val="000B567D"/>
    <w:rsid w:val="000E3B0A"/>
    <w:rsid w:val="00341824"/>
    <w:rsid w:val="00365240"/>
    <w:rsid w:val="006C64AF"/>
    <w:rsid w:val="007860C4"/>
    <w:rsid w:val="007A05CE"/>
    <w:rsid w:val="00923E5E"/>
    <w:rsid w:val="00944C2C"/>
    <w:rsid w:val="00982D6C"/>
    <w:rsid w:val="009933CD"/>
    <w:rsid w:val="009D230D"/>
    <w:rsid w:val="00A8539D"/>
    <w:rsid w:val="00AB74AC"/>
    <w:rsid w:val="00AF1B2D"/>
    <w:rsid w:val="00B37228"/>
    <w:rsid w:val="00B42718"/>
    <w:rsid w:val="00BC53A7"/>
    <w:rsid w:val="00C043C8"/>
    <w:rsid w:val="00E43532"/>
    <w:rsid w:val="00E80A02"/>
    <w:rsid w:val="00EA1EBA"/>
    <w:rsid w:val="00F16E03"/>
    <w:rsid w:val="00F46765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B58E201"/>
  <w15:chartTrackingRefBased/>
  <w15:docId w15:val="{605D4156-9DD1-4169-BB5B-190677E2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6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"/>
    <w:basedOn w:val="Normal"/>
    <w:link w:val="CabealhoChar"/>
    <w:unhideWhenUsed/>
    <w:rsid w:val="00F467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"/>
    <w:basedOn w:val="Fontepargpadro"/>
    <w:link w:val="Cabealho"/>
    <w:rsid w:val="00F46765"/>
  </w:style>
  <w:style w:type="paragraph" w:styleId="Rodap">
    <w:name w:val="footer"/>
    <w:basedOn w:val="Normal"/>
    <w:link w:val="RodapChar"/>
    <w:uiPriority w:val="99"/>
    <w:unhideWhenUsed/>
    <w:rsid w:val="00F467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765"/>
  </w:style>
  <w:style w:type="paragraph" w:styleId="PargrafodaLista">
    <w:name w:val="List Paragraph"/>
    <w:basedOn w:val="Normal"/>
    <w:uiPriority w:val="34"/>
    <w:qFormat/>
    <w:rsid w:val="00F46765"/>
    <w:pPr>
      <w:ind w:left="708"/>
    </w:pPr>
  </w:style>
  <w:style w:type="paragraph" w:customStyle="1" w:styleId="Nivel1">
    <w:name w:val="Nivel1"/>
    <w:basedOn w:val="Ttulo1"/>
    <w:next w:val="Normal"/>
    <w:link w:val="Nivel1Char"/>
    <w:qFormat/>
    <w:rsid w:val="00F46765"/>
    <w:pPr>
      <w:widowControl/>
      <w:numPr>
        <w:numId w:val="3"/>
      </w:numPr>
      <w:suppressAutoHyphens w:val="0"/>
      <w:spacing w:before="480" w:after="120" w:line="276" w:lineRule="auto"/>
      <w:jc w:val="both"/>
    </w:pPr>
    <w:rPr>
      <w:rFonts w:ascii="Arial" w:eastAsia="MS Gothic" w:hAnsi="Arial" w:cs="Arial"/>
      <w:b/>
      <w:color w:val="000000"/>
      <w:sz w:val="20"/>
      <w:szCs w:val="20"/>
    </w:rPr>
  </w:style>
  <w:style w:type="character" w:customStyle="1" w:styleId="Nivel1Char">
    <w:name w:val="Nivel1 Char"/>
    <w:link w:val="Nivel1"/>
    <w:rsid w:val="00F46765"/>
    <w:rPr>
      <w:rFonts w:ascii="Arial" w:eastAsia="MS Gothic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467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WW8Num5z1">
    <w:name w:val="WW8Num5z1"/>
    <w:rsid w:val="00F46765"/>
    <w:rPr>
      <w:rFonts w:ascii="Courier New" w:hAnsi="Courier New"/>
      <w:b/>
    </w:rPr>
  </w:style>
  <w:style w:type="character" w:customStyle="1" w:styleId="fontstyle01">
    <w:name w:val="fontstyle01"/>
    <w:basedOn w:val="Fontepargpadro"/>
    <w:rsid w:val="00E435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4353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2120</Words>
  <Characters>11453</Characters>
  <Application>Microsoft Office Word</Application>
  <DocSecurity>8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Ramal-</dc:creator>
  <cp:keywords/>
  <dc:description/>
  <cp:lastModifiedBy>Compras</cp:lastModifiedBy>
  <cp:revision>24</cp:revision>
  <dcterms:created xsi:type="dcterms:W3CDTF">2021-08-30T13:36:00Z</dcterms:created>
  <dcterms:modified xsi:type="dcterms:W3CDTF">2021-09-08T19:27:00Z</dcterms:modified>
</cp:coreProperties>
</file>