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500AE" w14:textId="77777777" w:rsidR="000B567D" w:rsidRPr="00043C67" w:rsidRDefault="000B567D" w:rsidP="00D22EB9">
      <w:pPr>
        <w:spacing w:line="276" w:lineRule="auto"/>
        <w:ind w:firstLine="284"/>
        <w:jc w:val="center"/>
        <w:rPr>
          <w:rFonts w:asciiTheme="minorHAnsi" w:hAnsiTheme="minorHAnsi" w:cstheme="minorHAnsi"/>
          <w:b/>
          <w:sz w:val="22"/>
          <w:szCs w:val="22"/>
          <w:lang w:val="pt"/>
        </w:rPr>
      </w:pPr>
    </w:p>
    <w:p w14:paraId="62F7E302" w14:textId="77777777" w:rsidR="00F46765" w:rsidRPr="00043C67" w:rsidRDefault="00F46765" w:rsidP="00D22EB9">
      <w:pPr>
        <w:spacing w:line="276" w:lineRule="auto"/>
        <w:ind w:firstLine="284"/>
        <w:jc w:val="center"/>
        <w:rPr>
          <w:rFonts w:asciiTheme="minorHAnsi" w:hAnsiTheme="minorHAnsi" w:cstheme="minorHAnsi"/>
          <w:b/>
          <w:sz w:val="22"/>
          <w:szCs w:val="22"/>
          <w:lang w:val="pt"/>
        </w:rPr>
      </w:pPr>
      <w:r w:rsidRPr="00043C67">
        <w:rPr>
          <w:rFonts w:asciiTheme="minorHAnsi" w:hAnsiTheme="minorHAnsi" w:cstheme="minorHAnsi"/>
          <w:b/>
          <w:sz w:val="22"/>
          <w:szCs w:val="22"/>
          <w:lang w:val="pt"/>
        </w:rPr>
        <w:t>TERMO DE REFERÊNCIA</w:t>
      </w:r>
    </w:p>
    <w:p w14:paraId="5ACCAEB9" w14:textId="77777777" w:rsidR="00F46765" w:rsidRPr="00043C67" w:rsidRDefault="000E3B0A" w:rsidP="00D22EB9">
      <w:pPr>
        <w:spacing w:line="276" w:lineRule="auto"/>
        <w:ind w:firstLine="284"/>
        <w:jc w:val="center"/>
        <w:rPr>
          <w:rFonts w:asciiTheme="minorHAnsi" w:hAnsiTheme="minorHAnsi" w:cstheme="minorHAnsi"/>
          <w:b/>
          <w:sz w:val="22"/>
          <w:szCs w:val="22"/>
          <w:lang w:val="pt"/>
        </w:rPr>
      </w:pPr>
      <w:r w:rsidRPr="00043C67">
        <w:rPr>
          <w:rFonts w:asciiTheme="minorHAnsi" w:hAnsiTheme="minorHAnsi" w:cstheme="minorHAnsi"/>
          <w:b/>
          <w:sz w:val="22"/>
          <w:szCs w:val="22"/>
          <w:lang w:val="pt"/>
        </w:rPr>
        <w:t>CONTRATAÇÃO DE SERVIÇOS</w:t>
      </w:r>
    </w:p>
    <w:p w14:paraId="7957D7BB" w14:textId="77777777" w:rsidR="00944C2C" w:rsidRPr="00043C67" w:rsidRDefault="006C64AF" w:rsidP="00D22EB9">
      <w:pPr>
        <w:spacing w:line="276" w:lineRule="auto"/>
        <w:ind w:firstLine="284"/>
        <w:jc w:val="center"/>
        <w:rPr>
          <w:rFonts w:asciiTheme="minorHAnsi" w:hAnsiTheme="minorHAnsi" w:cstheme="minorHAnsi"/>
          <w:b/>
          <w:sz w:val="22"/>
          <w:szCs w:val="22"/>
          <w:lang w:val="pt"/>
        </w:rPr>
      </w:pPr>
      <w:r w:rsidRPr="00043C67">
        <w:rPr>
          <w:rFonts w:asciiTheme="minorHAnsi" w:hAnsiTheme="minorHAnsi" w:cstheme="minorHAnsi"/>
          <w:b/>
          <w:sz w:val="22"/>
          <w:szCs w:val="22"/>
          <w:lang w:val="pt"/>
        </w:rPr>
        <w:t>INEXIGIBILIDADE</w:t>
      </w:r>
    </w:p>
    <w:p w14:paraId="39FC09AF" w14:textId="3F1CB711" w:rsidR="00F46765" w:rsidRPr="00043C67" w:rsidRDefault="00D22EB9" w:rsidP="00D22EB9">
      <w:pPr>
        <w:spacing w:line="276" w:lineRule="auto"/>
        <w:ind w:firstLine="284"/>
        <w:jc w:val="center"/>
        <w:rPr>
          <w:rFonts w:asciiTheme="minorHAnsi" w:hAnsiTheme="minorHAnsi" w:cstheme="minorHAnsi"/>
          <w:b/>
          <w:sz w:val="22"/>
          <w:szCs w:val="22"/>
          <w:lang w:val="pt"/>
        </w:rPr>
      </w:pPr>
      <w:r>
        <w:rPr>
          <w:rFonts w:asciiTheme="minorHAnsi" w:hAnsiTheme="minorHAnsi" w:cstheme="minorHAnsi"/>
          <w:b/>
          <w:sz w:val="22"/>
          <w:szCs w:val="22"/>
          <w:lang w:val="pt"/>
        </w:rPr>
        <w:t>PROC. ADMINISTRATIVO XXX/XXXX</w:t>
      </w:r>
    </w:p>
    <w:p w14:paraId="150C5605" w14:textId="77777777" w:rsidR="00F46765" w:rsidRPr="00043C67" w:rsidRDefault="00F46765" w:rsidP="00043C67">
      <w:pPr>
        <w:spacing w:line="360" w:lineRule="auto"/>
        <w:ind w:firstLine="284"/>
        <w:jc w:val="both"/>
        <w:rPr>
          <w:rFonts w:asciiTheme="minorHAnsi" w:hAnsiTheme="minorHAnsi" w:cstheme="minorHAnsi"/>
          <w:sz w:val="22"/>
          <w:szCs w:val="22"/>
          <w:lang w:val="pt"/>
        </w:rPr>
      </w:pPr>
    </w:p>
    <w:p w14:paraId="154CB052" w14:textId="77777777" w:rsidR="00F46765" w:rsidRPr="00D22EB9" w:rsidRDefault="00AF1B2D" w:rsidP="00D22EB9">
      <w:pPr>
        <w:pStyle w:val="Nivel1"/>
        <w:numPr>
          <w:ilvl w:val="0"/>
          <w:numId w:val="1"/>
        </w:numPr>
        <w:shd w:val="clear" w:color="auto" w:fill="D9D9D9" w:themeFill="background1" w:themeFillShade="D9"/>
        <w:spacing w:before="0"/>
        <w:ind w:left="360"/>
        <w:rPr>
          <w:rFonts w:ascii="Calibri" w:hAnsi="Calibri"/>
          <w:sz w:val="22"/>
        </w:rPr>
      </w:pPr>
      <w:r w:rsidRPr="00D22EB9">
        <w:rPr>
          <w:rFonts w:ascii="Calibri" w:hAnsi="Calibri"/>
          <w:sz w:val="22"/>
        </w:rPr>
        <w:t xml:space="preserve"> </w:t>
      </w:r>
      <w:r w:rsidR="00F46765" w:rsidRPr="00D22EB9">
        <w:rPr>
          <w:rFonts w:ascii="Calibri" w:hAnsi="Calibri"/>
          <w:sz w:val="22"/>
        </w:rPr>
        <w:t>OBJETO</w:t>
      </w:r>
    </w:p>
    <w:p w14:paraId="3A14FD9A" w14:textId="77777777" w:rsidR="00F46765" w:rsidRPr="00043C67" w:rsidRDefault="000E3B0A" w:rsidP="00D22EB9">
      <w:pPr>
        <w:widowControl/>
        <w:numPr>
          <w:ilvl w:val="1"/>
          <w:numId w:val="1"/>
        </w:numPr>
        <w:suppressAutoHyphens w:val="0"/>
        <w:spacing w:line="276" w:lineRule="auto"/>
        <w:ind w:firstLine="284"/>
        <w:jc w:val="both"/>
        <w:rPr>
          <w:rFonts w:asciiTheme="minorHAnsi" w:hAnsiTheme="minorHAnsi" w:cstheme="minorHAnsi"/>
          <w:sz w:val="22"/>
          <w:szCs w:val="22"/>
          <w:lang w:val="pt"/>
        </w:rPr>
      </w:pPr>
      <w:r w:rsidRPr="00043C67">
        <w:rPr>
          <w:rFonts w:asciiTheme="minorHAnsi" w:hAnsiTheme="minorHAnsi" w:cstheme="minorHAnsi"/>
          <w:sz w:val="22"/>
          <w:szCs w:val="22"/>
          <w:lang w:val="pt"/>
        </w:rPr>
        <w:t xml:space="preserve"> Contratação </w:t>
      </w:r>
      <w:r w:rsidR="00F46765" w:rsidRPr="00043C67">
        <w:rPr>
          <w:rFonts w:asciiTheme="minorHAnsi" w:hAnsiTheme="minorHAnsi" w:cstheme="minorHAnsi"/>
          <w:sz w:val="22"/>
          <w:szCs w:val="22"/>
          <w:lang w:val="pt"/>
        </w:rPr>
        <w:t xml:space="preserve">de </w:t>
      </w:r>
      <w:r w:rsidR="00944C2C" w:rsidRPr="00043C67">
        <w:rPr>
          <w:rFonts w:asciiTheme="minorHAnsi" w:hAnsiTheme="minorHAnsi" w:cstheme="minorHAnsi"/>
          <w:color w:val="FF0000"/>
          <w:sz w:val="22"/>
          <w:szCs w:val="22"/>
          <w:lang w:val="pt"/>
        </w:rPr>
        <w:t>.......................................................................................</w:t>
      </w:r>
      <w:r w:rsidR="00F46765" w:rsidRPr="00043C67">
        <w:rPr>
          <w:rFonts w:asciiTheme="minorHAnsi" w:hAnsiTheme="minorHAnsi" w:cstheme="minorHAnsi"/>
          <w:sz w:val="22"/>
          <w:szCs w:val="22"/>
          <w:lang w:val="pt"/>
        </w:rPr>
        <w:t>de acordo com condições, quantidades e exigências e</w:t>
      </w:r>
      <w:r w:rsidR="00944C2C" w:rsidRPr="00043C67">
        <w:rPr>
          <w:rFonts w:asciiTheme="minorHAnsi" w:hAnsiTheme="minorHAnsi" w:cstheme="minorHAnsi"/>
          <w:sz w:val="22"/>
          <w:szCs w:val="22"/>
          <w:lang w:val="pt"/>
        </w:rPr>
        <w:t>stabelecidas neste instrumento:</w:t>
      </w:r>
    </w:p>
    <w:tbl>
      <w:tblPr>
        <w:tblW w:w="5000" w:type="pct"/>
        <w:jc w:val="center"/>
        <w:tblCellMar>
          <w:left w:w="70" w:type="dxa"/>
          <w:right w:w="70" w:type="dxa"/>
        </w:tblCellMar>
        <w:tblLook w:val="04A0" w:firstRow="1" w:lastRow="0" w:firstColumn="1" w:lastColumn="0" w:noHBand="0" w:noVBand="1"/>
      </w:tblPr>
      <w:tblGrid>
        <w:gridCol w:w="907"/>
        <w:gridCol w:w="1196"/>
        <w:gridCol w:w="1197"/>
        <w:gridCol w:w="946"/>
        <w:gridCol w:w="1312"/>
        <w:gridCol w:w="1497"/>
        <w:gridCol w:w="1079"/>
        <w:gridCol w:w="1070"/>
      </w:tblGrid>
      <w:tr w:rsidR="00D22EB9" w:rsidRPr="00D22EB9" w14:paraId="0074FB89" w14:textId="77777777" w:rsidTr="00D90AFF">
        <w:trPr>
          <w:trHeight w:val="495"/>
          <w:jc w:val="center"/>
        </w:trPr>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9D2F9" w14:textId="77777777" w:rsidR="00D22EB9" w:rsidRPr="00D22EB9" w:rsidRDefault="00D22EB9" w:rsidP="00D22EB9">
            <w:pPr>
              <w:keepNext/>
              <w:ind w:firstLine="284"/>
              <w:jc w:val="center"/>
              <w:outlineLvl w:val="1"/>
              <w:rPr>
                <w:rFonts w:asciiTheme="minorHAnsi" w:hAnsiTheme="minorHAnsi" w:cstheme="minorHAnsi"/>
                <w:b/>
                <w:bCs/>
                <w:iCs/>
                <w:sz w:val="22"/>
                <w:szCs w:val="22"/>
              </w:rPr>
            </w:pPr>
            <w:r w:rsidRPr="00D22EB9">
              <w:rPr>
                <w:rFonts w:asciiTheme="minorHAnsi" w:hAnsiTheme="minorHAnsi" w:cstheme="minorHAnsi"/>
                <w:b/>
                <w:bCs/>
                <w:iCs/>
                <w:sz w:val="22"/>
                <w:szCs w:val="22"/>
              </w:rPr>
              <w:t>ITEM</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F62C4" w14:textId="77777777" w:rsidR="00D22EB9" w:rsidRPr="00D22EB9" w:rsidRDefault="00D22EB9" w:rsidP="00D22EB9">
            <w:pPr>
              <w:keepNext/>
              <w:ind w:firstLine="284"/>
              <w:jc w:val="center"/>
              <w:outlineLvl w:val="1"/>
              <w:rPr>
                <w:rFonts w:asciiTheme="minorHAnsi" w:hAnsiTheme="minorHAnsi" w:cstheme="minorHAnsi"/>
                <w:b/>
                <w:bCs/>
                <w:iCs/>
                <w:sz w:val="22"/>
                <w:szCs w:val="22"/>
              </w:rPr>
            </w:pPr>
            <w:r w:rsidRPr="00D22EB9">
              <w:rPr>
                <w:rFonts w:asciiTheme="minorHAnsi" w:hAnsiTheme="minorHAnsi" w:cstheme="minorHAnsi"/>
                <w:b/>
                <w:bCs/>
                <w:iCs/>
                <w:sz w:val="22"/>
                <w:szCs w:val="22"/>
              </w:rPr>
              <w:t>CÓDIGO</w:t>
            </w:r>
          </w:p>
          <w:p w14:paraId="4A1CB78B"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BR</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A2E21"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CÓDIGO ELOTECH</w:t>
            </w:r>
          </w:p>
        </w:tc>
        <w:tc>
          <w:tcPr>
            <w:tcW w:w="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891A3"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QTDE</w:t>
            </w:r>
          </w:p>
        </w:tc>
        <w:tc>
          <w:tcPr>
            <w:tcW w:w="71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47F867"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UNIDADE</w:t>
            </w:r>
          </w:p>
        </w:tc>
        <w:tc>
          <w:tcPr>
            <w:tcW w:w="81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114742" w14:textId="77777777" w:rsidR="00D22EB9" w:rsidRPr="00D22EB9" w:rsidRDefault="00D22EB9" w:rsidP="00D22EB9">
            <w:pPr>
              <w:ind w:firstLine="284"/>
              <w:jc w:val="center"/>
              <w:rPr>
                <w:rFonts w:asciiTheme="minorHAnsi" w:hAnsiTheme="minorHAnsi" w:cstheme="minorHAnsi"/>
                <w:b/>
                <w:bCs/>
                <w:iCs/>
                <w:sz w:val="22"/>
                <w:szCs w:val="22"/>
              </w:rPr>
            </w:pPr>
            <w:r w:rsidRPr="00D22EB9">
              <w:rPr>
                <w:rFonts w:asciiTheme="minorHAnsi" w:hAnsiTheme="minorHAnsi" w:cstheme="minorHAnsi"/>
                <w:b/>
                <w:bCs/>
                <w:iCs/>
                <w:sz w:val="22"/>
                <w:szCs w:val="22"/>
              </w:rPr>
              <w:t>DESCRIÇÃO</w:t>
            </w:r>
          </w:p>
        </w:tc>
        <w:tc>
          <w:tcPr>
            <w:tcW w:w="58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6E77F87" w14:textId="77777777" w:rsidR="00D22EB9" w:rsidRPr="00D22EB9" w:rsidRDefault="00D22EB9" w:rsidP="00D22EB9">
            <w:pPr>
              <w:ind w:firstLine="284"/>
              <w:jc w:val="center"/>
              <w:rPr>
                <w:rFonts w:asciiTheme="minorHAnsi" w:hAnsiTheme="minorHAnsi" w:cstheme="minorHAnsi"/>
                <w:b/>
                <w:bCs/>
                <w:sz w:val="22"/>
                <w:szCs w:val="22"/>
              </w:rPr>
            </w:pPr>
            <w:r w:rsidRPr="00D22EB9">
              <w:rPr>
                <w:rFonts w:asciiTheme="minorHAnsi" w:hAnsiTheme="minorHAnsi" w:cstheme="minorHAnsi"/>
                <w:b/>
                <w:bCs/>
                <w:sz w:val="22"/>
                <w:szCs w:val="22"/>
              </w:rPr>
              <w:t>VALOR UNITÁRIO (R$)</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41BA2" w14:textId="77777777" w:rsidR="00D22EB9" w:rsidRPr="00D22EB9" w:rsidRDefault="00D22EB9" w:rsidP="00D22EB9">
            <w:pPr>
              <w:ind w:firstLine="284"/>
              <w:jc w:val="center"/>
              <w:rPr>
                <w:rFonts w:asciiTheme="minorHAnsi" w:hAnsiTheme="minorHAnsi" w:cstheme="minorHAnsi"/>
                <w:b/>
                <w:bCs/>
                <w:sz w:val="22"/>
                <w:szCs w:val="22"/>
              </w:rPr>
            </w:pPr>
            <w:r w:rsidRPr="00D22EB9">
              <w:rPr>
                <w:rFonts w:asciiTheme="minorHAnsi" w:hAnsiTheme="minorHAnsi" w:cstheme="minorHAnsi"/>
                <w:b/>
                <w:bCs/>
                <w:sz w:val="22"/>
                <w:szCs w:val="22"/>
              </w:rPr>
              <w:t>VALOR TOTAL (R$)</w:t>
            </w:r>
          </w:p>
        </w:tc>
      </w:tr>
      <w:tr w:rsidR="00D22EB9" w:rsidRPr="00D22EB9" w14:paraId="1A49BF7A" w14:textId="77777777" w:rsidTr="00D90AFF">
        <w:trPr>
          <w:trHeight w:hRule="exact" w:val="313"/>
          <w:jc w:val="center"/>
        </w:trPr>
        <w:tc>
          <w:tcPr>
            <w:tcW w:w="493" w:type="pct"/>
            <w:tcBorders>
              <w:top w:val="single" w:sz="4" w:space="0" w:color="auto"/>
              <w:left w:val="single" w:sz="4" w:space="0" w:color="auto"/>
              <w:bottom w:val="single" w:sz="4" w:space="0" w:color="auto"/>
              <w:right w:val="single" w:sz="4" w:space="0" w:color="auto"/>
            </w:tcBorders>
            <w:vAlign w:val="center"/>
          </w:tcPr>
          <w:p w14:paraId="22E2568B"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601EC692"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tcPr>
          <w:p w14:paraId="17B4BD99"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0BDA5D9E"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5346315E"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46E0BB1D"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36772AD1"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B26141" w14:textId="77777777" w:rsidR="00D22EB9" w:rsidRPr="00D22EB9" w:rsidRDefault="00D22EB9" w:rsidP="00D22EB9">
            <w:pPr>
              <w:spacing w:line="276" w:lineRule="auto"/>
              <w:ind w:firstLine="284"/>
              <w:jc w:val="both"/>
              <w:rPr>
                <w:rFonts w:asciiTheme="minorHAnsi" w:hAnsiTheme="minorHAnsi" w:cstheme="minorHAnsi"/>
                <w:color w:val="FF0000"/>
                <w:sz w:val="22"/>
                <w:szCs w:val="22"/>
              </w:rPr>
            </w:pPr>
          </w:p>
        </w:tc>
      </w:tr>
      <w:tr w:rsidR="00D22EB9" w:rsidRPr="00D22EB9" w14:paraId="74880383" w14:textId="77777777" w:rsidTr="00D90AFF">
        <w:trPr>
          <w:trHeight w:hRule="exact" w:val="313"/>
          <w:jc w:val="center"/>
        </w:trPr>
        <w:tc>
          <w:tcPr>
            <w:tcW w:w="493" w:type="pct"/>
            <w:tcBorders>
              <w:top w:val="single" w:sz="4" w:space="0" w:color="auto"/>
              <w:left w:val="single" w:sz="4" w:space="0" w:color="auto"/>
              <w:bottom w:val="single" w:sz="4" w:space="0" w:color="auto"/>
              <w:right w:val="single" w:sz="4" w:space="0" w:color="auto"/>
            </w:tcBorders>
            <w:vAlign w:val="center"/>
          </w:tcPr>
          <w:p w14:paraId="1A435C07"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252E2E91"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tcPr>
          <w:p w14:paraId="77BD4917"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33A9DE15"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16B9A6AB"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6B3BBC32"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6DAFAE57"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C03A44" w14:textId="77777777" w:rsidR="00D22EB9" w:rsidRPr="00D22EB9" w:rsidRDefault="00D22EB9" w:rsidP="00D22EB9">
            <w:pPr>
              <w:spacing w:line="276" w:lineRule="auto"/>
              <w:ind w:firstLine="284"/>
              <w:jc w:val="both"/>
              <w:rPr>
                <w:rFonts w:asciiTheme="minorHAnsi" w:hAnsiTheme="minorHAnsi" w:cstheme="minorHAnsi"/>
                <w:color w:val="FF0000"/>
                <w:sz w:val="22"/>
                <w:szCs w:val="22"/>
              </w:rPr>
            </w:pPr>
          </w:p>
        </w:tc>
      </w:tr>
      <w:tr w:rsidR="00D22EB9" w:rsidRPr="00D22EB9" w14:paraId="310DF577" w14:textId="77777777" w:rsidTr="00D90AFF">
        <w:trPr>
          <w:trHeight w:hRule="exact" w:val="313"/>
          <w:jc w:val="center"/>
        </w:trPr>
        <w:tc>
          <w:tcPr>
            <w:tcW w:w="493" w:type="pct"/>
            <w:tcBorders>
              <w:top w:val="single" w:sz="4" w:space="0" w:color="auto"/>
              <w:left w:val="single" w:sz="4" w:space="0" w:color="auto"/>
              <w:bottom w:val="single" w:sz="4" w:space="0" w:color="auto"/>
              <w:right w:val="single" w:sz="4" w:space="0" w:color="auto"/>
            </w:tcBorders>
            <w:vAlign w:val="center"/>
          </w:tcPr>
          <w:p w14:paraId="20FBBD5D"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vAlign w:val="center"/>
          </w:tcPr>
          <w:p w14:paraId="749C6D87"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650" w:type="pct"/>
            <w:tcBorders>
              <w:top w:val="single" w:sz="4" w:space="0" w:color="auto"/>
              <w:left w:val="single" w:sz="4" w:space="0" w:color="auto"/>
              <w:bottom w:val="single" w:sz="4" w:space="0" w:color="auto"/>
              <w:right w:val="single" w:sz="4" w:space="0" w:color="auto"/>
            </w:tcBorders>
          </w:tcPr>
          <w:p w14:paraId="3022BE98"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14" w:type="pct"/>
            <w:tcBorders>
              <w:top w:val="single" w:sz="4" w:space="0" w:color="auto"/>
              <w:left w:val="single" w:sz="4" w:space="0" w:color="auto"/>
              <w:bottom w:val="single" w:sz="4" w:space="0" w:color="auto"/>
              <w:right w:val="single" w:sz="4" w:space="0" w:color="auto"/>
            </w:tcBorders>
            <w:vAlign w:val="center"/>
          </w:tcPr>
          <w:p w14:paraId="3FF68C15"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14:paraId="7068EAAD"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14:paraId="03FFE204"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6" w:type="pct"/>
            <w:tcBorders>
              <w:top w:val="single" w:sz="4" w:space="0" w:color="auto"/>
              <w:left w:val="single" w:sz="4" w:space="0" w:color="auto"/>
              <w:bottom w:val="single" w:sz="4" w:space="0" w:color="auto"/>
              <w:right w:val="single" w:sz="4" w:space="0" w:color="auto"/>
            </w:tcBorders>
            <w:vAlign w:val="center"/>
          </w:tcPr>
          <w:p w14:paraId="0A8E6DFA" w14:textId="77777777" w:rsidR="00D22EB9" w:rsidRPr="00D22EB9" w:rsidRDefault="00D22EB9" w:rsidP="00D22EB9">
            <w:pPr>
              <w:spacing w:line="276" w:lineRule="auto"/>
              <w:ind w:firstLine="284"/>
              <w:jc w:val="both"/>
              <w:rPr>
                <w:rFonts w:asciiTheme="minorHAnsi" w:hAnsiTheme="minorHAnsi" w:cstheme="minorHAnsi"/>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1DBDFB" w14:textId="77777777" w:rsidR="00D22EB9" w:rsidRPr="00D22EB9" w:rsidRDefault="00D22EB9" w:rsidP="00D22EB9">
            <w:pPr>
              <w:spacing w:line="276" w:lineRule="auto"/>
              <w:ind w:firstLine="284"/>
              <w:jc w:val="both"/>
              <w:rPr>
                <w:rFonts w:asciiTheme="minorHAnsi" w:hAnsiTheme="minorHAnsi" w:cstheme="minorHAnsi"/>
                <w:color w:val="FF0000"/>
                <w:sz w:val="22"/>
                <w:szCs w:val="22"/>
              </w:rPr>
            </w:pPr>
          </w:p>
        </w:tc>
      </w:tr>
    </w:tbl>
    <w:p w14:paraId="6E49F858" w14:textId="77777777" w:rsidR="00944C2C" w:rsidRPr="00043C67" w:rsidRDefault="00944C2C" w:rsidP="00717F27">
      <w:pPr>
        <w:widowControl/>
        <w:numPr>
          <w:ilvl w:val="1"/>
          <w:numId w:val="1"/>
        </w:numPr>
        <w:suppressAutoHyphens w:val="0"/>
        <w:spacing w:line="276" w:lineRule="auto"/>
        <w:ind w:firstLine="284"/>
        <w:jc w:val="both"/>
        <w:rPr>
          <w:rFonts w:asciiTheme="minorHAnsi" w:hAnsiTheme="minorHAnsi" w:cstheme="minorHAnsi"/>
          <w:sz w:val="22"/>
          <w:szCs w:val="22"/>
          <w:lang w:val="pt"/>
        </w:rPr>
      </w:pPr>
      <w:r w:rsidRPr="00043C67">
        <w:rPr>
          <w:rFonts w:asciiTheme="minorHAnsi" w:hAnsiTheme="minorHAnsi" w:cstheme="minorHAnsi"/>
          <w:sz w:val="22"/>
          <w:szCs w:val="22"/>
          <w:lang w:val="pt"/>
        </w:rPr>
        <w:t xml:space="preserve"> Os quantitativos e respectivos códigos dos itens são os discriminados na tabela acima.</w:t>
      </w:r>
    </w:p>
    <w:p w14:paraId="26C9470D" w14:textId="77777777" w:rsidR="00944C2C" w:rsidRPr="00043C67" w:rsidRDefault="00944C2C" w:rsidP="00717F27">
      <w:pPr>
        <w:widowControl/>
        <w:numPr>
          <w:ilvl w:val="1"/>
          <w:numId w:val="1"/>
        </w:numPr>
        <w:suppressAutoHyphens w:val="0"/>
        <w:spacing w:line="276" w:lineRule="auto"/>
        <w:ind w:firstLine="284"/>
        <w:jc w:val="both"/>
        <w:rPr>
          <w:rFonts w:asciiTheme="minorHAnsi" w:hAnsiTheme="minorHAnsi" w:cstheme="minorHAnsi"/>
          <w:sz w:val="22"/>
          <w:szCs w:val="22"/>
          <w:lang w:val="pt"/>
        </w:rPr>
      </w:pPr>
      <w:r w:rsidRPr="00043C67">
        <w:rPr>
          <w:rFonts w:asciiTheme="minorHAnsi" w:hAnsiTheme="minorHAnsi" w:cstheme="minorHAnsi"/>
          <w:sz w:val="22"/>
          <w:szCs w:val="22"/>
          <w:lang w:val="pt"/>
        </w:rPr>
        <w:t xml:space="preserve"> O custo estimado da contratação é de </w:t>
      </w:r>
      <w:r w:rsidRPr="00043C67">
        <w:rPr>
          <w:rFonts w:asciiTheme="minorHAnsi" w:hAnsiTheme="minorHAnsi" w:cstheme="minorHAnsi"/>
          <w:color w:val="FF0000"/>
          <w:sz w:val="22"/>
          <w:szCs w:val="22"/>
          <w:lang w:val="pt"/>
        </w:rPr>
        <w:t>R$ ................................................(valor por extenso).</w:t>
      </w:r>
    </w:p>
    <w:p w14:paraId="12B77399" w14:textId="77777777" w:rsidR="000E3B0A" w:rsidRPr="00043C67" w:rsidRDefault="00944C2C" w:rsidP="00717F27">
      <w:pPr>
        <w:widowControl/>
        <w:numPr>
          <w:ilvl w:val="1"/>
          <w:numId w:val="1"/>
        </w:numPr>
        <w:suppressAutoHyphens w:val="0"/>
        <w:spacing w:line="276" w:lineRule="auto"/>
        <w:ind w:firstLine="284"/>
        <w:jc w:val="both"/>
        <w:rPr>
          <w:rFonts w:asciiTheme="minorHAnsi" w:hAnsiTheme="minorHAnsi" w:cstheme="minorHAnsi"/>
          <w:color w:val="FF0000"/>
          <w:sz w:val="22"/>
          <w:szCs w:val="22"/>
          <w:lang w:val="pt"/>
        </w:rPr>
      </w:pPr>
      <w:r w:rsidRPr="00043C67">
        <w:rPr>
          <w:rFonts w:asciiTheme="minorHAnsi" w:hAnsiTheme="minorHAnsi" w:cstheme="minorHAnsi"/>
          <w:sz w:val="22"/>
          <w:szCs w:val="22"/>
          <w:lang w:val="pt"/>
        </w:rPr>
        <w:t xml:space="preserve"> </w:t>
      </w:r>
      <w:r w:rsidR="000E3B0A" w:rsidRPr="00043C67">
        <w:rPr>
          <w:rFonts w:asciiTheme="minorHAnsi" w:hAnsiTheme="minorHAnsi" w:cstheme="minorHAnsi"/>
          <w:sz w:val="22"/>
          <w:szCs w:val="22"/>
          <w:lang w:val="pt"/>
        </w:rPr>
        <w:t xml:space="preserve">A presente contratação adotará como regime de execução a </w:t>
      </w:r>
      <w:r w:rsidR="000E3B0A" w:rsidRPr="00043C67">
        <w:rPr>
          <w:rFonts w:asciiTheme="minorHAnsi" w:hAnsiTheme="minorHAnsi" w:cstheme="minorHAnsi"/>
          <w:color w:val="FF0000"/>
          <w:sz w:val="22"/>
          <w:szCs w:val="22"/>
          <w:lang w:val="pt"/>
        </w:rPr>
        <w:t xml:space="preserve">Empreitada por Preço Unitário ou Global. </w:t>
      </w:r>
    </w:p>
    <w:p w14:paraId="22DA7F10" w14:textId="77777777" w:rsidR="00944C2C" w:rsidRPr="00043C67" w:rsidRDefault="000E3B0A" w:rsidP="00717F27">
      <w:pPr>
        <w:widowControl/>
        <w:numPr>
          <w:ilvl w:val="1"/>
          <w:numId w:val="1"/>
        </w:numPr>
        <w:suppressAutoHyphens w:val="0"/>
        <w:spacing w:line="276" w:lineRule="auto"/>
        <w:ind w:firstLine="284"/>
        <w:jc w:val="both"/>
        <w:rPr>
          <w:rFonts w:asciiTheme="minorHAnsi" w:hAnsiTheme="minorHAnsi" w:cstheme="minorHAnsi"/>
          <w:sz w:val="22"/>
          <w:szCs w:val="22"/>
          <w:lang w:val="pt"/>
        </w:rPr>
      </w:pPr>
      <w:r w:rsidRPr="00043C67">
        <w:rPr>
          <w:rFonts w:asciiTheme="minorHAnsi" w:hAnsiTheme="minorHAnsi" w:cstheme="minorHAnsi"/>
          <w:sz w:val="22"/>
          <w:szCs w:val="22"/>
          <w:lang w:val="pt"/>
        </w:rPr>
        <w:t xml:space="preserve"> </w:t>
      </w:r>
      <w:r w:rsidR="00944C2C" w:rsidRPr="00043C67">
        <w:rPr>
          <w:rFonts w:asciiTheme="minorHAnsi" w:hAnsiTheme="minorHAnsi" w:cstheme="minorHAnsi"/>
          <w:sz w:val="22"/>
          <w:szCs w:val="22"/>
          <w:lang w:val="pt"/>
        </w:rPr>
        <w:t xml:space="preserve">O Contrato terá vigência pelo período de </w:t>
      </w:r>
      <w:r w:rsidR="00944C2C" w:rsidRPr="00043C67">
        <w:rPr>
          <w:rFonts w:asciiTheme="minorHAnsi" w:hAnsiTheme="minorHAnsi" w:cstheme="minorHAnsi"/>
          <w:color w:val="FF0000"/>
          <w:sz w:val="22"/>
          <w:szCs w:val="22"/>
          <w:lang w:val="pt"/>
        </w:rPr>
        <w:t>....................dias/meses.</w:t>
      </w:r>
    </w:p>
    <w:p w14:paraId="3349516B" w14:textId="77777777" w:rsidR="00944C2C" w:rsidRPr="00043C67" w:rsidRDefault="00944C2C" w:rsidP="00717F27">
      <w:pPr>
        <w:widowControl/>
        <w:suppressAutoHyphens w:val="0"/>
        <w:spacing w:line="276" w:lineRule="auto"/>
        <w:ind w:firstLine="284"/>
        <w:jc w:val="both"/>
        <w:rPr>
          <w:rFonts w:asciiTheme="minorHAnsi" w:hAnsiTheme="minorHAnsi" w:cstheme="minorHAnsi"/>
          <w:sz w:val="22"/>
          <w:szCs w:val="22"/>
          <w:lang w:val="pt"/>
        </w:rPr>
      </w:pPr>
    </w:p>
    <w:p w14:paraId="1EC55016" w14:textId="77777777" w:rsidR="00F46765" w:rsidRPr="00D22EB9" w:rsidRDefault="00944C2C"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JUSTIFICATIVA </w:t>
      </w:r>
      <w:r w:rsidR="000E3B0A" w:rsidRPr="00D22EB9">
        <w:rPr>
          <w:rFonts w:ascii="Calibri" w:hAnsi="Calibri"/>
          <w:sz w:val="22"/>
        </w:rPr>
        <w:t>E OBJETIVOS DA</w:t>
      </w:r>
      <w:r w:rsidRPr="00D22EB9">
        <w:rPr>
          <w:rFonts w:ascii="Calibri" w:hAnsi="Calibri"/>
          <w:sz w:val="22"/>
        </w:rPr>
        <w:t xml:space="preserve"> CONTRATAÇÃO </w:t>
      </w:r>
      <w:r w:rsidR="00F46765" w:rsidRPr="00D22EB9">
        <w:rPr>
          <w:rFonts w:ascii="Calibri" w:hAnsi="Calibri"/>
          <w:sz w:val="22"/>
        </w:rPr>
        <w:t xml:space="preserve"> </w:t>
      </w:r>
    </w:p>
    <w:p w14:paraId="129E2A25" w14:textId="77777777" w:rsidR="000E3B0A" w:rsidRPr="00D22EB9" w:rsidRDefault="000E3B0A" w:rsidP="00717F27">
      <w:pPr>
        <w:pStyle w:val="PargrafodaLista"/>
        <w:numPr>
          <w:ilvl w:val="1"/>
          <w:numId w:val="1"/>
        </w:numPr>
        <w:spacing w:line="276" w:lineRule="auto"/>
        <w:jc w:val="both"/>
        <w:rPr>
          <w:rFonts w:ascii="Calibri" w:hAnsi="Calibri" w:cs="Calibri"/>
          <w:color w:val="FF0000"/>
          <w:sz w:val="22"/>
          <w:szCs w:val="22"/>
          <w:lang w:val="pt"/>
        </w:rPr>
      </w:pPr>
      <w:bookmarkStart w:id="0" w:name="_Hlk67663753"/>
      <w:r w:rsidRPr="00D22EB9">
        <w:rPr>
          <w:rFonts w:ascii="Calibri" w:hAnsi="Calibri" w:cs="Calibri"/>
          <w:color w:val="FF0000"/>
          <w:sz w:val="22"/>
          <w:szCs w:val="22"/>
          <w:lang w:val="pt"/>
        </w:rPr>
        <w:t xml:space="preserve"> Justificativa da Contratação, de forma motivada, indicando as razões para a realização da Dispensa; </w:t>
      </w:r>
    </w:p>
    <w:p w14:paraId="58C39239" w14:textId="78BA4476" w:rsidR="000E3B0A" w:rsidRDefault="000E3B0A" w:rsidP="00717F27">
      <w:pPr>
        <w:pStyle w:val="PargrafodaLista"/>
        <w:numPr>
          <w:ilvl w:val="1"/>
          <w:numId w:val="1"/>
        </w:numPr>
        <w:spacing w:line="276" w:lineRule="auto"/>
        <w:jc w:val="both"/>
        <w:rPr>
          <w:rFonts w:ascii="Calibri" w:hAnsi="Calibri" w:cs="Calibri"/>
          <w:color w:val="FF0000"/>
          <w:sz w:val="22"/>
          <w:szCs w:val="22"/>
          <w:lang w:val="pt"/>
        </w:rPr>
      </w:pPr>
      <w:r w:rsidRPr="00D22EB9">
        <w:rPr>
          <w:rFonts w:ascii="Calibri" w:hAnsi="Calibri" w:cs="Calibri"/>
          <w:color w:val="FF0000"/>
          <w:sz w:val="22"/>
          <w:szCs w:val="22"/>
          <w:lang w:val="pt"/>
        </w:rPr>
        <w:t xml:space="preserve"> Justificativa da Escolha do Contratado. </w:t>
      </w:r>
    </w:p>
    <w:p w14:paraId="1CE16DDD" w14:textId="77777777" w:rsidR="00D22EB9" w:rsidRPr="00D22EB9" w:rsidRDefault="00D22EB9" w:rsidP="00717F27">
      <w:pPr>
        <w:pStyle w:val="PargrafodaLista"/>
        <w:spacing w:line="276" w:lineRule="auto"/>
        <w:ind w:left="360"/>
        <w:jc w:val="both"/>
        <w:rPr>
          <w:rFonts w:ascii="Calibri" w:hAnsi="Calibri" w:cs="Calibri"/>
          <w:color w:val="FF0000"/>
          <w:sz w:val="22"/>
          <w:szCs w:val="22"/>
          <w:lang w:val="pt"/>
        </w:rPr>
      </w:pPr>
    </w:p>
    <w:p w14:paraId="61CD8B2B" w14:textId="77777777" w:rsidR="009D230D" w:rsidRPr="00D22EB9" w:rsidRDefault="009D230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DA CLASSIFICAÇÃO DOS SERVIÇOS E FORMA DE SELEÇÃO DO FORNECEDOR   </w:t>
      </w:r>
    </w:p>
    <w:p w14:paraId="2560D121" w14:textId="73B4F938" w:rsidR="009D230D" w:rsidRPr="00D22EB9"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B42718" w:rsidRPr="00D22EB9">
        <w:rPr>
          <w:rFonts w:asciiTheme="minorHAnsi" w:hAnsiTheme="minorHAnsi" w:cstheme="minorHAnsi"/>
          <w:sz w:val="22"/>
          <w:szCs w:val="22"/>
        </w:rPr>
        <w:t>A INEXIGIBILIDADE de licitação está prevista no artigo 25 da Lei 8.666/1993.</w:t>
      </w:r>
      <w:r w:rsidR="009D230D" w:rsidRPr="00D22EB9">
        <w:rPr>
          <w:rFonts w:asciiTheme="minorHAnsi" w:hAnsiTheme="minorHAnsi" w:cstheme="minorHAnsi"/>
          <w:sz w:val="22"/>
          <w:szCs w:val="22"/>
        </w:rPr>
        <w:t xml:space="preserve"> </w:t>
      </w:r>
    </w:p>
    <w:p w14:paraId="0E43B708" w14:textId="00C9C924" w:rsidR="009D230D" w:rsidRPr="00D22EB9"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9D230D" w:rsidRPr="00D22EB9">
        <w:rPr>
          <w:rFonts w:asciiTheme="minorHAnsi" w:hAnsiTheme="minorHAnsi" w:cstheme="minorHAnsi"/>
          <w:sz w:val="22"/>
          <w:szCs w:val="22"/>
        </w:rPr>
        <w:t xml:space="preserve">Os serviços a serem contratados enquadram-se nos pressupostos do Decreto n° 9.507, de 21 de setembro de 2018, não se constituindo em quaisquer das atividades, previstas no art. 3º do aludido decreto, cuja execução indireta é vedada; </w:t>
      </w:r>
    </w:p>
    <w:p w14:paraId="56D171CA" w14:textId="58361DDA" w:rsidR="009D230D" w:rsidRPr="00043C67"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9D230D" w:rsidRPr="00D22EB9">
        <w:rPr>
          <w:rFonts w:asciiTheme="minorHAnsi" w:hAnsiTheme="minorHAnsi" w:cstheme="minorHAnsi"/>
          <w:sz w:val="22"/>
          <w:szCs w:val="22"/>
        </w:rPr>
        <w:t>A prestação dos serviços não gera vínculo empregatício entre os empregados da Contratada e a Administração Contratante, vedando-se qualquer relação entre estes que caracterize pessoalidade e subordinação direta.</w:t>
      </w:r>
    </w:p>
    <w:p w14:paraId="3C0741F4" w14:textId="77777777" w:rsidR="009D230D" w:rsidRPr="00043C67" w:rsidRDefault="009D230D" w:rsidP="00717F27">
      <w:pPr>
        <w:widowControl/>
        <w:suppressAutoHyphens w:val="0"/>
        <w:spacing w:line="276" w:lineRule="auto"/>
        <w:ind w:firstLine="284"/>
        <w:jc w:val="both"/>
        <w:rPr>
          <w:rFonts w:asciiTheme="minorHAnsi" w:hAnsiTheme="minorHAnsi" w:cstheme="minorHAnsi"/>
          <w:color w:val="000000"/>
          <w:sz w:val="22"/>
          <w:szCs w:val="22"/>
        </w:rPr>
      </w:pPr>
    </w:p>
    <w:p w14:paraId="7D79F2DF" w14:textId="77777777" w:rsidR="009D230D" w:rsidRPr="00D22EB9" w:rsidRDefault="009D230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EXECUÇÃO DO OBJETO</w:t>
      </w:r>
    </w:p>
    <w:bookmarkEnd w:id="0"/>
    <w:p w14:paraId="1A3BC77E" w14:textId="77777777" w:rsidR="00D22EB9" w:rsidRPr="0020630B"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lang w:val="pt"/>
        </w:rPr>
      </w:pPr>
      <w:r w:rsidRPr="0020630B">
        <w:rPr>
          <w:rFonts w:asciiTheme="minorHAnsi" w:hAnsiTheme="minorHAnsi" w:cstheme="minorHAnsi"/>
          <w:sz w:val="22"/>
          <w:szCs w:val="22"/>
          <w:lang w:val="pt"/>
        </w:rPr>
        <w:t xml:space="preserve">A execução dos serviços deverá iniciar a partir da emissão do recebimento da Nota de Empenho que deverá ser enviada pelo Fiscal do contrato por e-mail ao fornecedor; </w:t>
      </w:r>
    </w:p>
    <w:p w14:paraId="0260FBAD" w14:textId="77777777" w:rsidR="00D22EB9" w:rsidRPr="0020630B"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Pr="0020630B">
        <w:rPr>
          <w:rFonts w:asciiTheme="minorHAnsi" w:hAnsiTheme="minorHAnsi" w:cstheme="minorHAnsi"/>
          <w:sz w:val="22"/>
          <w:szCs w:val="22"/>
          <w:lang w:val="pt"/>
        </w:rPr>
        <w:t xml:space="preserve">O local de execução dos serviços deverá ocorrer conforme definido Proc. Administrativo </w:t>
      </w:r>
      <w:r w:rsidRPr="0020630B">
        <w:rPr>
          <w:rFonts w:asciiTheme="minorHAnsi" w:hAnsiTheme="minorHAnsi" w:cstheme="minorHAnsi"/>
          <w:color w:val="FF0000"/>
          <w:sz w:val="22"/>
          <w:szCs w:val="22"/>
          <w:lang w:val="pt"/>
        </w:rPr>
        <w:t>xxxxxxxx/xxxxx</w:t>
      </w:r>
      <w:r w:rsidRPr="0020630B">
        <w:rPr>
          <w:rFonts w:asciiTheme="minorHAnsi" w:hAnsiTheme="minorHAnsi" w:cstheme="minorHAnsi"/>
          <w:sz w:val="22"/>
          <w:szCs w:val="22"/>
          <w:lang w:val="pt"/>
        </w:rPr>
        <w:t>;</w:t>
      </w:r>
    </w:p>
    <w:p w14:paraId="5DA3D996" w14:textId="77777777" w:rsidR="00D22EB9" w:rsidRPr="0020630B"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lastRenderedPageBreak/>
        <w:t xml:space="preserve"> </w:t>
      </w:r>
      <w:r w:rsidRPr="0020630B">
        <w:rPr>
          <w:rFonts w:asciiTheme="minorHAnsi" w:hAnsiTheme="minorHAnsi" w:cstheme="minorHAnsi"/>
          <w:sz w:val="22"/>
          <w:szCs w:val="22"/>
          <w:lang w:val="pt"/>
        </w:rPr>
        <w:t>O FORNECEDOR deverá informar ao CONSAMU da ocorrência de quaisquer atos, fatos ou circunstâncias que possa atrasar ou impedir o início da execução dos serviços, dentro do prazo previsto de no máximo 24 (vinte e quatro) horas;</w:t>
      </w:r>
    </w:p>
    <w:p w14:paraId="71DF431B" w14:textId="77777777" w:rsidR="00D22EB9" w:rsidRPr="0020630B" w:rsidRDefault="00D22EB9" w:rsidP="00717F27">
      <w:pPr>
        <w:pStyle w:val="PargrafodaLista"/>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Pr="0020630B">
        <w:rPr>
          <w:rFonts w:asciiTheme="minorHAnsi" w:hAnsiTheme="minorHAnsi" w:cstheme="minorHAnsi"/>
          <w:sz w:val="22"/>
          <w:szCs w:val="22"/>
          <w:lang w:val="pt"/>
        </w:rPr>
        <w:t>A tolerância do CONSAMU com qualquer atraso ou inadimplemento por parte da empresa não importará, de forma alguma, em alteração Contrato ou renovação, podendo o Consórcio exercer seus direitos a qualquer tempo.</w:t>
      </w:r>
    </w:p>
    <w:p w14:paraId="1D1E5E11" w14:textId="77777777" w:rsidR="00D22EB9" w:rsidRPr="00366F93" w:rsidRDefault="00D22EB9" w:rsidP="00717F27">
      <w:pPr>
        <w:pStyle w:val="PargrafodaLista"/>
        <w:spacing w:line="276" w:lineRule="auto"/>
        <w:ind w:left="0"/>
        <w:jc w:val="both"/>
        <w:rPr>
          <w:rFonts w:asciiTheme="minorHAnsi" w:hAnsiTheme="minorHAnsi" w:cstheme="minorHAnsi"/>
          <w:sz w:val="22"/>
          <w:szCs w:val="22"/>
          <w:lang w:val="pt"/>
        </w:rPr>
      </w:pPr>
    </w:p>
    <w:p w14:paraId="259C0AF0" w14:textId="77777777" w:rsidR="00F46765" w:rsidRPr="00D22EB9" w:rsidRDefault="007A05CE"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DAS OBRIGAÇÕES E RESPONSABILIDADES DA CONTRATANTE</w:t>
      </w:r>
    </w:p>
    <w:p w14:paraId="1A8B7BA2" w14:textId="5FB6F03C"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Pr>
          <w:rFonts w:asciiTheme="minorHAnsi" w:hAnsiTheme="minorHAnsi" w:cstheme="minorHAnsi"/>
          <w:sz w:val="22"/>
          <w:szCs w:val="22"/>
          <w:lang w:val="pt"/>
        </w:rPr>
        <w:t xml:space="preserve"> </w:t>
      </w:r>
      <w:r w:rsidRPr="00366F93">
        <w:rPr>
          <w:rFonts w:asciiTheme="minorHAnsi" w:hAnsiTheme="minorHAnsi" w:cstheme="minorHAnsi"/>
          <w:sz w:val="22"/>
          <w:szCs w:val="22"/>
          <w:lang w:val="pt"/>
        </w:rPr>
        <w:t xml:space="preserve">Acompanhar e fiscalizar o recebimento dos materiais no prazo e condições estabelecidas no Termo de Referência e anexos; </w:t>
      </w:r>
    </w:p>
    <w:p w14:paraId="7412C01A"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Efetuar o pagamento à adjudicatária nos termos do Termo de Referência e anexos;</w:t>
      </w:r>
    </w:p>
    <w:p w14:paraId="0E60A5E0"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Aplicar a adjudicatária as sanções regulamentares e contratuais previstas no Termo de Referência e anexos;</w:t>
      </w:r>
    </w:p>
    <w:p w14:paraId="2CC842BD"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Prestar as informações e os esclarecimentos que venham a ser solicitados pela adjudicatária e anexos; </w:t>
      </w:r>
    </w:p>
    <w:p w14:paraId="19B527A0"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Dar à adjudicatária as condições necessárias a garantir a execução Contrato; </w:t>
      </w:r>
    </w:p>
    <w:p w14:paraId="55BDEC3B" w14:textId="77777777" w:rsidR="00D22EB9" w:rsidRPr="00366F93" w:rsidRDefault="00D22EB9" w:rsidP="00717F27">
      <w:pPr>
        <w:pStyle w:val="PargrafodaLista"/>
        <w:widowControl/>
        <w:numPr>
          <w:ilvl w:val="1"/>
          <w:numId w:val="1"/>
        </w:numPr>
        <w:suppressAutoHyphens w:val="0"/>
        <w:spacing w:line="276" w:lineRule="auto"/>
        <w:jc w:val="both"/>
        <w:rPr>
          <w:rFonts w:asciiTheme="minorHAnsi" w:hAnsiTheme="minorHAnsi" w:cstheme="minorHAnsi"/>
          <w:b/>
          <w:sz w:val="22"/>
          <w:szCs w:val="22"/>
          <w:lang w:val="pt"/>
        </w:rPr>
      </w:pPr>
      <w:r w:rsidRPr="00366F93">
        <w:rPr>
          <w:rFonts w:asciiTheme="minorHAnsi" w:hAnsiTheme="minorHAnsi" w:cstheme="minorHAnsi"/>
          <w:sz w:val="22"/>
          <w:szCs w:val="22"/>
          <w:lang w:val="pt"/>
        </w:rPr>
        <w:t xml:space="preserve"> Notificar a adjudicatária, formal e tempestivamente, sobre as irregularidades observadas no cumprimento do contrato. </w:t>
      </w:r>
    </w:p>
    <w:p w14:paraId="10554D7C" w14:textId="77777777" w:rsidR="00F46765" w:rsidRPr="00043C67" w:rsidRDefault="00F46765" w:rsidP="00717F27">
      <w:pPr>
        <w:pStyle w:val="PargrafodaLista"/>
        <w:spacing w:line="276" w:lineRule="auto"/>
        <w:ind w:left="0" w:firstLine="284"/>
        <w:jc w:val="both"/>
        <w:rPr>
          <w:rFonts w:asciiTheme="minorHAnsi" w:hAnsiTheme="minorHAnsi" w:cstheme="minorHAnsi"/>
          <w:sz w:val="22"/>
          <w:szCs w:val="22"/>
          <w:lang w:val="pt"/>
        </w:rPr>
      </w:pPr>
    </w:p>
    <w:p w14:paraId="338A3802"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 xml:space="preserve">DAS OBRIGAÇÕES </w:t>
      </w:r>
      <w:r w:rsidR="009D230D" w:rsidRPr="00D22EB9">
        <w:rPr>
          <w:rFonts w:ascii="Calibri" w:hAnsi="Calibri"/>
          <w:sz w:val="22"/>
        </w:rPr>
        <w:t>DA CONTRATADA</w:t>
      </w:r>
    </w:p>
    <w:p w14:paraId="07692AB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Responsabilizar-se por todas as despesas diretas ou indiretas tais como impostos, tarifas, taxas, salários, encargos sociais, fiscais, trabalhistas, previdenciários e de ordem de classe, seguros, fretes de execução, entre outros, a fim de que o serviço seja prestado </w:t>
      </w:r>
      <w:r w:rsidRPr="00F929C3">
        <w:rPr>
          <w:rFonts w:asciiTheme="minorHAnsi" w:hAnsiTheme="minorHAnsi" w:cstheme="minorHAnsi"/>
          <w:sz w:val="22"/>
          <w:szCs w:val="22"/>
          <w:lang w:val="pt"/>
        </w:rPr>
        <w:t xml:space="preserve">conforme </w:t>
      </w:r>
      <w:r>
        <w:rPr>
          <w:rFonts w:asciiTheme="minorHAnsi" w:hAnsiTheme="minorHAnsi" w:cstheme="minorHAnsi"/>
          <w:sz w:val="22"/>
          <w:szCs w:val="22"/>
          <w:lang w:val="pt"/>
        </w:rPr>
        <w:t>Proc. Administrativo</w:t>
      </w:r>
      <w:r w:rsidRPr="00366F93">
        <w:rPr>
          <w:rFonts w:asciiTheme="minorHAnsi" w:hAnsiTheme="minorHAnsi" w:cstheme="minorHAnsi"/>
          <w:color w:val="FF0000"/>
          <w:sz w:val="22"/>
          <w:szCs w:val="22"/>
          <w:lang w:val="pt"/>
        </w:rPr>
        <w:t xml:space="preserve"> ............/.............</w:t>
      </w:r>
      <w:r w:rsidRPr="00F929C3">
        <w:rPr>
          <w:rFonts w:asciiTheme="minorHAnsi" w:hAnsiTheme="minorHAnsi" w:cstheme="minorHAnsi"/>
          <w:sz w:val="22"/>
          <w:szCs w:val="22"/>
          <w:lang w:val="pt"/>
        </w:rPr>
        <w:t>,</w:t>
      </w:r>
      <w:r w:rsidRPr="00366F93">
        <w:rPr>
          <w:rFonts w:asciiTheme="minorHAnsi" w:hAnsiTheme="minorHAnsi" w:cstheme="minorHAnsi"/>
          <w:color w:val="FF0000"/>
          <w:sz w:val="22"/>
          <w:szCs w:val="22"/>
          <w:lang w:val="pt"/>
        </w:rPr>
        <w:t xml:space="preserve"> </w:t>
      </w:r>
      <w:r w:rsidRPr="00F929C3">
        <w:rPr>
          <w:rFonts w:asciiTheme="minorHAnsi" w:hAnsiTheme="minorHAnsi" w:cstheme="minorHAnsi"/>
          <w:sz w:val="22"/>
          <w:szCs w:val="22"/>
          <w:lang w:val="pt"/>
        </w:rPr>
        <w:t xml:space="preserve">Termo de Referência e anexos; </w:t>
      </w:r>
    </w:p>
    <w:p w14:paraId="6897BF36"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Prestar o serviço no prazo máximo definido contado da data de recebimento da nota de empenho encaminhada via e-mail, conforme especificações exigidas no Termo de Referência e seus anexos, acompanhado da respectiva Nota Fiscal, na qual constarão indicações referentes aos serviços prestados, prazo de garantia ou validade, nº do processo de licitação; </w:t>
      </w:r>
    </w:p>
    <w:p w14:paraId="208F5E9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Fornecer os serviços conforme especificação marca e preço registrado na Contrato.</w:t>
      </w:r>
    </w:p>
    <w:p w14:paraId="372BECB8"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Providenciar a imediata correção de deficiências, falhas ou irregularidades constatadas pelo CONSAMU referente às condições firmadas na Contrato.</w:t>
      </w:r>
    </w:p>
    <w:p w14:paraId="2B2514FA"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Fornecer, sempre que solicitado, no prazo máximo de 05 (cinco) dias úteis, documentação de habilitação e qualificação cujas validades encontrem-se vencidas.</w:t>
      </w:r>
    </w:p>
    <w:p w14:paraId="48A2954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Prover condições que possibilitem o atendimento das condições firmadas a partir da data da assinatura Contrato.</w:t>
      </w:r>
    </w:p>
    <w:p w14:paraId="2044E809"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Ressarcir os eventuais prejuízos causados aos órgãos gerenciador (s) e participante (s) e/ou a terceiros, provocados por ineficiência ou irregularidades cometidas na execução das obrigações assumidas na Contrato.</w:t>
      </w:r>
    </w:p>
    <w:p w14:paraId="0E8659B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Pagar, pontualmente, aos fornecedores e cumprir com as obrigações fiscais, relativos ao material entregue, com base na Contrato, exonerando a Administração Pública de responsabilidade solidária ou subsidiária por tal pagamento.</w:t>
      </w:r>
    </w:p>
    <w:p w14:paraId="532BAC86"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lastRenderedPageBreak/>
        <w:t xml:space="preserve"> </w:t>
      </w:r>
      <w:r w:rsidRPr="00366F93">
        <w:rPr>
          <w:rFonts w:asciiTheme="minorHAnsi" w:hAnsiTheme="minorHAnsi" w:cstheme="minorHAnsi"/>
          <w:sz w:val="22"/>
          <w:szCs w:val="22"/>
          <w:lang w:val="pt"/>
        </w:rPr>
        <w:t xml:space="preserve">Reparar, corrigir, remover ou substituir, às suas expensas, os serviços deste contrato em que forem verificados vícios, defeitos ou incorreções de qualquer natureza, principalmente referentes ao prazo de validade ou de especificação, no prazo máximo de 05 (cinco) dias úteis a contar da notificação para tal; </w:t>
      </w:r>
    </w:p>
    <w:p w14:paraId="4D86669F"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Pr="00366F93">
        <w:rPr>
          <w:rFonts w:asciiTheme="minorHAnsi" w:hAnsiTheme="minorHAnsi" w:cstheme="minorHAnsi"/>
          <w:sz w:val="22"/>
          <w:szCs w:val="22"/>
          <w:lang w:val="pt"/>
        </w:rPr>
        <w:t xml:space="preserve">Informar ao CONSAMU da ocorrência de quaisquer atos, fatos ou circunstâncias que possa atrasar ou impedir a entrega dos produtos, dentro do prazo previsto de no máximo 24 (vinte e quatro) horas; </w:t>
      </w:r>
    </w:p>
    <w:p w14:paraId="381BC8B7" w14:textId="7DF42F2B" w:rsidR="00D22EB9"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Indicar preposta para representá-la durante a execução do contrato. </w:t>
      </w:r>
    </w:p>
    <w:p w14:paraId="1BC28DAB" w14:textId="7C720E1E" w:rsidR="00B61699" w:rsidRPr="00366F93" w:rsidRDefault="00B61699" w:rsidP="00B61699">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bookmarkStart w:id="1" w:name="_GoBack"/>
      <w:bookmarkEnd w:id="1"/>
      <w:r w:rsidRPr="00B61699">
        <w:rPr>
          <w:rFonts w:asciiTheme="minorHAnsi" w:hAnsiTheme="minorHAnsi" w:cstheme="minorHAnsi"/>
          <w:sz w:val="22"/>
          <w:szCs w:val="22"/>
          <w:lang w:val="pt"/>
        </w:rPr>
        <w:tab/>
        <w:t>Em havendo necessidade, aceitar os acréscimos ou supressões nos quantitativos que se fizerem indispensáveis, sempre nas mesmas condições da proposta, na forma do preceituado no art. 65, § 1º, da Lei nº 8.666/93</w:t>
      </w:r>
    </w:p>
    <w:p w14:paraId="3A3909C0" w14:textId="77777777" w:rsidR="00F46765" w:rsidRPr="00043C67" w:rsidRDefault="00F46765" w:rsidP="00717F27">
      <w:pPr>
        <w:spacing w:line="276" w:lineRule="auto"/>
        <w:ind w:firstLine="284"/>
        <w:jc w:val="both"/>
        <w:rPr>
          <w:rFonts w:asciiTheme="minorHAnsi" w:hAnsiTheme="minorHAnsi" w:cstheme="minorHAnsi"/>
          <w:sz w:val="22"/>
          <w:szCs w:val="22"/>
          <w:lang w:val="pt"/>
        </w:rPr>
      </w:pPr>
    </w:p>
    <w:p w14:paraId="3937CDD0"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DO REGIME DE CONTRATAÇÃO</w:t>
      </w:r>
    </w:p>
    <w:p w14:paraId="2CDF6DD8" w14:textId="63DD6996" w:rsidR="00F46765" w:rsidRPr="00D22EB9"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00F46765" w:rsidRPr="00043C67">
        <w:rPr>
          <w:rFonts w:asciiTheme="minorHAnsi" w:hAnsiTheme="minorHAnsi" w:cstheme="minorHAnsi"/>
          <w:sz w:val="22"/>
          <w:szCs w:val="22"/>
          <w:lang w:val="pt"/>
        </w:rPr>
        <w:t xml:space="preserve">A licitação será realizada na modalidade </w:t>
      </w:r>
      <w:r w:rsidR="00A8539D" w:rsidRPr="00D22EB9">
        <w:rPr>
          <w:rFonts w:asciiTheme="minorHAnsi" w:hAnsiTheme="minorHAnsi" w:cstheme="minorHAnsi"/>
          <w:b/>
          <w:bCs/>
          <w:sz w:val="22"/>
          <w:szCs w:val="22"/>
          <w:lang w:val="pt"/>
        </w:rPr>
        <w:t xml:space="preserve">PROCESSO DE </w:t>
      </w:r>
      <w:r w:rsidR="006C64AF" w:rsidRPr="00D22EB9">
        <w:rPr>
          <w:rFonts w:asciiTheme="minorHAnsi" w:hAnsiTheme="minorHAnsi" w:cstheme="minorHAnsi"/>
          <w:b/>
          <w:bCs/>
          <w:sz w:val="22"/>
          <w:szCs w:val="22"/>
          <w:lang w:val="pt"/>
        </w:rPr>
        <w:t>INEXIGIBILIDADE</w:t>
      </w:r>
      <w:r w:rsidR="00B42718" w:rsidRPr="00D22EB9">
        <w:rPr>
          <w:rFonts w:asciiTheme="minorHAnsi" w:hAnsiTheme="minorHAnsi" w:cstheme="minorHAnsi"/>
          <w:sz w:val="22"/>
          <w:szCs w:val="22"/>
          <w:lang w:val="pt"/>
        </w:rPr>
        <w:t xml:space="preserve">. </w:t>
      </w:r>
    </w:p>
    <w:p w14:paraId="42E56B10" w14:textId="77777777" w:rsidR="00D22EB9" w:rsidRPr="00043C67" w:rsidRDefault="00D22EB9" w:rsidP="00717F27">
      <w:pPr>
        <w:widowControl/>
        <w:suppressAutoHyphens w:val="0"/>
        <w:spacing w:line="276" w:lineRule="auto"/>
        <w:ind w:firstLine="284"/>
        <w:jc w:val="both"/>
        <w:rPr>
          <w:rFonts w:asciiTheme="minorHAnsi" w:hAnsiTheme="minorHAnsi" w:cstheme="minorHAnsi"/>
          <w:sz w:val="22"/>
          <w:szCs w:val="22"/>
          <w:lang w:val="pt"/>
        </w:rPr>
      </w:pPr>
    </w:p>
    <w:p w14:paraId="1285C3AD"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 xml:space="preserve">DA SUBCONTRATAÇÃO </w:t>
      </w:r>
    </w:p>
    <w:p w14:paraId="30B06CE9" w14:textId="47F5594F" w:rsidR="00F46765"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Pr>
          <w:rFonts w:asciiTheme="minorHAnsi" w:hAnsiTheme="minorHAnsi" w:cstheme="minorHAnsi"/>
          <w:sz w:val="22"/>
          <w:szCs w:val="22"/>
          <w:lang w:val="pt"/>
        </w:rPr>
        <w:t xml:space="preserve"> </w:t>
      </w:r>
      <w:r w:rsidR="00F46765" w:rsidRPr="00043C67">
        <w:rPr>
          <w:rFonts w:asciiTheme="minorHAnsi" w:hAnsiTheme="minorHAnsi" w:cstheme="minorHAnsi"/>
          <w:sz w:val="22"/>
          <w:szCs w:val="22"/>
          <w:lang w:val="pt"/>
        </w:rPr>
        <w:t xml:space="preserve">Não será admitida a subcontratação do objeto licitatório. </w:t>
      </w:r>
    </w:p>
    <w:p w14:paraId="2A701859" w14:textId="77777777" w:rsidR="00D22EB9" w:rsidRPr="00043C67" w:rsidRDefault="00D22EB9" w:rsidP="00717F27">
      <w:pPr>
        <w:widowControl/>
        <w:suppressAutoHyphens w:val="0"/>
        <w:spacing w:line="276" w:lineRule="auto"/>
        <w:ind w:left="357"/>
        <w:jc w:val="both"/>
        <w:rPr>
          <w:rFonts w:asciiTheme="minorHAnsi" w:hAnsiTheme="minorHAnsi" w:cstheme="minorHAnsi"/>
          <w:sz w:val="22"/>
          <w:szCs w:val="22"/>
          <w:lang w:val="pt"/>
        </w:rPr>
      </w:pPr>
    </w:p>
    <w:p w14:paraId="1E2C053E"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PAGAMENTO</w:t>
      </w:r>
    </w:p>
    <w:p w14:paraId="556424C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Realizado a prestação de serviços, o FORNECEDOR emitirá a Nota Fiscal/fatura, sendo que o CONSAMU terá até 30 (trinta) dias após a entrega do documento fiscal com o atesto do fiscal do contrato para efetuar o pagamento; </w:t>
      </w:r>
    </w:p>
    <w:p w14:paraId="7DE2F84C"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O FORNECEDOR deverá encaminhar a nota(s) Fiscal(s) ao CONSAMU que a (s) receberá provisoriamente, para posterior comprovação de conformidade constante do Termo de Referência, termo de referência e da proposta apresentada, bem como da comprovação da quantidade e qualidade dos mesmos;</w:t>
      </w:r>
    </w:p>
    <w:p w14:paraId="075C6E67"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Nenhuma fatura que contrarie as especificações contidas nas propostas será liberada antes de executadas as devidas correções e antes que seja apresentada a comprovação do cumprimento das obrigações tributárias e sociais legalmente exigidas;</w:t>
      </w:r>
    </w:p>
    <w:p w14:paraId="0004236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Em hipótese alguma será feito o pagamento antecipado;</w:t>
      </w:r>
      <w:r w:rsidRPr="00366F93">
        <w:rPr>
          <w:rFonts w:asciiTheme="minorHAnsi" w:hAnsiTheme="minorHAnsi" w:cstheme="minorHAnsi"/>
          <w:sz w:val="22"/>
          <w:szCs w:val="22"/>
        </w:rPr>
        <w:t xml:space="preserve"> </w:t>
      </w:r>
    </w:p>
    <w:p w14:paraId="39CE48C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No corpo da nota fiscal/fatura deverá ser informado o número do Processo de DISPENSA e Contrato; </w:t>
      </w:r>
    </w:p>
    <w:p w14:paraId="39CA125F"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A nota fiscal/fatura que for apresentada com erro será devolvida ao detentor para retificação ou substituição, contando-se o prazo estabelecido no subitem “9.1.” novamente, a partir da data de sua nova apresentação; </w:t>
      </w:r>
    </w:p>
    <w:p w14:paraId="182F8A5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O pagamento poderá ser realizado através de fatura com código de barras (boleto)</w:t>
      </w:r>
      <w:r>
        <w:rPr>
          <w:rFonts w:asciiTheme="minorHAnsi" w:hAnsiTheme="minorHAnsi" w:cstheme="minorHAnsi"/>
          <w:sz w:val="22"/>
          <w:szCs w:val="22"/>
          <w:lang w:val="pt"/>
        </w:rPr>
        <w:t>;</w:t>
      </w:r>
    </w:p>
    <w:p w14:paraId="72DA5463"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O CONSAMU poderá descontar do pagamento, importâncias que, a qualquer título, lhes sejam devidas pela detentora do Contrato/CONTRATO; </w:t>
      </w:r>
    </w:p>
    <w:p w14:paraId="3CE449AF"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No caso de a execução do objeto desta licitação não estar de acordo com as especificações e demais exigências fixadas neste contrato, o CONSAMU fica desde já autorizada a reter o pagamento em </w:t>
      </w:r>
      <w:r w:rsidRPr="00366F93">
        <w:rPr>
          <w:rFonts w:asciiTheme="minorHAnsi" w:hAnsiTheme="minorHAnsi" w:cstheme="minorHAnsi"/>
          <w:sz w:val="22"/>
          <w:szCs w:val="22"/>
          <w:lang w:val="pt"/>
        </w:rPr>
        <w:lastRenderedPageBreak/>
        <w:t>sua integralidade, até que sejam processadas as alterações e retificações determinadas, aplicando-se à adjudicatária as multas previstas</w:t>
      </w:r>
      <w:r>
        <w:rPr>
          <w:rFonts w:asciiTheme="minorHAnsi" w:hAnsiTheme="minorHAnsi" w:cstheme="minorHAnsi"/>
          <w:sz w:val="22"/>
          <w:szCs w:val="22"/>
          <w:lang w:val="pt"/>
        </w:rPr>
        <w:t xml:space="preserve">; </w:t>
      </w:r>
    </w:p>
    <w:p w14:paraId="1CEB91D2" w14:textId="77777777" w:rsidR="00D22EB9" w:rsidRPr="00366F93" w:rsidRDefault="00D22EB9" w:rsidP="00717F27">
      <w:pPr>
        <w:widowControl/>
        <w:numPr>
          <w:ilvl w:val="1"/>
          <w:numId w:val="1"/>
        </w:numPr>
        <w:suppressAutoHyphens w:val="0"/>
        <w:spacing w:line="276" w:lineRule="auto"/>
        <w:jc w:val="both"/>
        <w:rPr>
          <w:rFonts w:asciiTheme="minorHAnsi" w:hAnsiTheme="minorHAnsi" w:cstheme="minorHAnsi"/>
          <w:sz w:val="22"/>
          <w:szCs w:val="22"/>
          <w:lang w:val="pt"/>
        </w:rPr>
      </w:pPr>
      <w:r w:rsidRPr="00366F93">
        <w:rPr>
          <w:rFonts w:asciiTheme="minorHAnsi" w:hAnsiTheme="minorHAnsi" w:cstheme="minorHAnsi"/>
          <w:sz w:val="22"/>
          <w:szCs w:val="22"/>
          <w:lang w:val="pt"/>
        </w:rPr>
        <w:t xml:space="preserve"> Durante o período de retenção não correrão juros ou atualizações monetárias de qualquer natureza, sem prejuízo de outras penalidades previstas certame.</w:t>
      </w:r>
    </w:p>
    <w:p w14:paraId="767B62EA" w14:textId="77777777" w:rsidR="00F46765" w:rsidRPr="00043C67" w:rsidRDefault="00F46765" w:rsidP="00717F27">
      <w:pPr>
        <w:pStyle w:val="PargrafodaLista"/>
        <w:spacing w:line="276" w:lineRule="auto"/>
        <w:ind w:left="0" w:firstLine="284"/>
        <w:jc w:val="both"/>
        <w:rPr>
          <w:rFonts w:asciiTheme="minorHAnsi" w:hAnsiTheme="minorHAnsi" w:cstheme="minorHAnsi"/>
          <w:sz w:val="22"/>
          <w:szCs w:val="22"/>
          <w:lang w:val="pt"/>
        </w:rPr>
      </w:pPr>
    </w:p>
    <w:p w14:paraId="768EA630"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 xml:space="preserve">DAS SANÇÕES </w:t>
      </w:r>
    </w:p>
    <w:p w14:paraId="43D7019D"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A Detentora sujeitar-se-á, em caso de inadimplemento de suas obrigações, definidas neste</w:t>
      </w:r>
      <w:r w:rsidRPr="00366F93">
        <w:rPr>
          <w:rFonts w:asciiTheme="minorHAnsi" w:eastAsia="Calibri Light" w:hAnsiTheme="minorHAnsi" w:cstheme="minorHAnsi"/>
          <w:b/>
          <w:sz w:val="22"/>
          <w:szCs w:val="22"/>
        </w:rPr>
        <w:t xml:space="preserve"> </w:t>
      </w:r>
      <w:r w:rsidRPr="00366F93">
        <w:rPr>
          <w:rFonts w:asciiTheme="minorHAnsi" w:eastAsia="Calibri Light" w:hAnsiTheme="minorHAnsi" w:cstheme="minorHAnsi"/>
          <w:sz w:val="22"/>
          <w:szCs w:val="22"/>
        </w:rPr>
        <w:t>instrumento ou em outros que o complementem, as seguintes multas, sem prejuízo das sanções legais, Art. 86 a 88 da Lei nº 8.666/</w:t>
      </w:r>
      <w:r>
        <w:rPr>
          <w:rFonts w:asciiTheme="minorHAnsi" w:eastAsia="Calibri Light" w:hAnsiTheme="minorHAnsi" w:cstheme="minorHAnsi"/>
          <w:sz w:val="22"/>
          <w:szCs w:val="22"/>
        </w:rPr>
        <w:t>19</w:t>
      </w:r>
      <w:r w:rsidRPr="00366F93">
        <w:rPr>
          <w:rFonts w:asciiTheme="minorHAnsi" w:eastAsia="Calibri Light" w:hAnsiTheme="minorHAnsi" w:cstheme="minorHAnsi"/>
          <w:sz w:val="22"/>
          <w:szCs w:val="22"/>
        </w:rPr>
        <w:t xml:space="preserve">93 e responsabilidades civil e criminal; </w:t>
      </w:r>
    </w:p>
    <w:p w14:paraId="2A65BFE6"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O atraso injustificado na entrega do produto contratado poderá implicar no pagamento de multa isentando em consequência o CONSAMU de quaisquer acréscimos, sob qualquer título, relativos ao período em atraso; </w:t>
      </w:r>
    </w:p>
    <w:p w14:paraId="1C7FA88F"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 inexecução parcial do ajuste ou a execução parcial em desacordo com o especificado no Termo de Referência/contrato, poderá implicar no pagamento de multa; </w:t>
      </w:r>
    </w:p>
    <w:p w14:paraId="68722CCB"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 inexecução total do ajuste ou execução total em desacordo com o Termo de Referência/contrato, poderá implicar no pagamento de multa; </w:t>
      </w:r>
    </w:p>
    <w:p w14:paraId="7F2D6672"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 aplicação de multa, a ser determinada pelo CONSAMU, após regular procedimento que garanta a prévia defesa da empresa inadimplente, não exclui a possibilidade de aplicação da sanção prevista no art. 7º da Lei nº. 10.520/</w:t>
      </w:r>
      <w:r>
        <w:rPr>
          <w:rFonts w:asciiTheme="minorHAnsi" w:eastAsia="Calibri Light" w:hAnsiTheme="minorHAnsi" w:cstheme="minorHAnsi"/>
          <w:sz w:val="22"/>
          <w:szCs w:val="22"/>
        </w:rPr>
        <w:t>20</w:t>
      </w:r>
      <w:r w:rsidRPr="00366F93">
        <w:rPr>
          <w:rFonts w:asciiTheme="minorHAnsi" w:eastAsia="Calibri Light" w:hAnsiTheme="minorHAnsi" w:cstheme="minorHAnsi"/>
          <w:sz w:val="22"/>
          <w:szCs w:val="22"/>
        </w:rPr>
        <w:t xml:space="preserve">02 e alterações; </w:t>
      </w:r>
    </w:p>
    <w:p w14:paraId="0BC0298A"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Aos proponentes que convocados dentro do prazo de validade da sua proposta não celebrarem o contrato/CONTRATO, deixarem de entregar ou apresentarem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da reparação dos danos causados CONSAMU pelo infrator:</w:t>
      </w:r>
    </w:p>
    <w:p w14:paraId="66064C00" w14:textId="77777777" w:rsidR="00D22EB9" w:rsidRPr="00366F93" w:rsidRDefault="00D22EB9" w:rsidP="00717F27">
      <w:pPr>
        <w:widowControl/>
        <w:numPr>
          <w:ilvl w:val="0"/>
          <w:numId w:val="2"/>
        </w:numPr>
        <w:suppressAutoHyphens w:val="0"/>
        <w:spacing w:line="276" w:lineRule="auto"/>
        <w:ind w:firstLine="567"/>
        <w:jc w:val="both"/>
        <w:rPr>
          <w:rFonts w:asciiTheme="minorHAnsi" w:eastAsia="Calibri Light" w:hAnsiTheme="minorHAnsi" w:cstheme="minorHAnsi"/>
          <w:b/>
          <w:sz w:val="22"/>
          <w:szCs w:val="22"/>
        </w:rPr>
      </w:pPr>
      <w:r w:rsidRPr="00366F93">
        <w:rPr>
          <w:rFonts w:asciiTheme="minorHAnsi" w:eastAsia="Calibri Light" w:hAnsiTheme="minorHAnsi" w:cstheme="minorHAnsi"/>
          <w:sz w:val="22"/>
          <w:szCs w:val="22"/>
        </w:rPr>
        <w:t xml:space="preserve"> advertência</w:t>
      </w:r>
      <w:r w:rsidRPr="00366F93">
        <w:rPr>
          <w:rFonts w:asciiTheme="minorHAnsi" w:eastAsia="Calibri Light" w:hAnsiTheme="minorHAnsi" w:cstheme="minorHAnsi"/>
          <w:i/>
          <w:sz w:val="22"/>
          <w:szCs w:val="22"/>
        </w:rPr>
        <w:t>;</w:t>
      </w:r>
    </w:p>
    <w:p w14:paraId="1A9E9709" w14:textId="77777777" w:rsidR="00D22EB9" w:rsidRPr="00366F93" w:rsidRDefault="00D22EB9" w:rsidP="00717F27">
      <w:pPr>
        <w:widowControl/>
        <w:numPr>
          <w:ilvl w:val="0"/>
          <w:numId w:val="2"/>
        </w:numPr>
        <w:suppressAutoHyphens w:val="0"/>
        <w:spacing w:line="276" w:lineRule="auto"/>
        <w:ind w:firstLine="567"/>
        <w:jc w:val="both"/>
        <w:rPr>
          <w:rFonts w:asciiTheme="minorHAnsi" w:eastAsia="Calibri Light" w:hAnsiTheme="minorHAnsi" w:cstheme="minorHAnsi"/>
          <w:b/>
          <w:sz w:val="22"/>
          <w:szCs w:val="22"/>
        </w:rPr>
      </w:pPr>
      <w:r w:rsidRPr="00366F93">
        <w:rPr>
          <w:rFonts w:asciiTheme="minorHAnsi" w:eastAsia="Calibri Light" w:hAnsiTheme="minorHAnsi" w:cstheme="minorHAnsi"/>
          <w:sz w:val="22"/>
          <w:szCs w:val="22"/>
        </w:rPr>
        <w:t xml:space="preserve"> multa;</w:t>
      </w:r>
    </w:p>
    <w:p w14:paraId="5114F17C" w14:textId="77777777" w:rsidR="00D22EB9" w:rsidRPr="00366F93" w:rsidRDefault="00D22EB9" w:rsidP="00717F27">
      <w:pPr>
        <w:widowControl/>
        <w:numPr>
          <w:ilvl w:val="0"/>
          <w:numId w:val="2"/>
        </w:numPr>
        <w:suppressAutoHyphens w:val="0"/>
        <w:spacing w:line="276" w:lineRule="auto"/>
        <w:ind w:firstLine="567"/>
        <w:jc w:val="both"/>
        <w:rPr>
          <w:rFonts w:asciiTheme="minorHAnsi" w:eastAsia="Calibri Light" w:hAnsiTheme="minorHAnsi" w:cstheme="minorHAnsi"/>
          <w:b/>
          <w:sz w:val="22"/>
          <w:szCs w:val="22"/>
        </w:rPr>
      </w:pPr>
      <w:r w:rsidRPr="00366F93">
        <w:rPr>
          <w:rFonts w:asciiTheme="minorHAnsi" w:eastAsia="Calibri Light" w:hAnsiTheme="minorHAnsi" w:cstheme="minorHAnsi"/>
          <w:sz w:val="22"/>
          <w:szCs w:val="22"/>
        </w:rPr>
        <w:t xml:space="preserve"> suspensão temporária do direito de licitar, de contratar com a Administração pelo prazo de até 02 (dois) anos;</w:t>
      </w:r>
    </w:p>
    <w:p w14:paraId="2B810B3F" w14:textId="77777777" w:rsidR="00D22EB9" w:rsidRPr="00366F93" w:rsidRDefault="00D22EB9" w:rsidP="00717F27">
      <w:pPr>
        <w:widowControl/>
        <w:numPr>
          <w:ilvl w:val="0"/>
          <w:numId w:val="2"/>
        </w:numPr>
        <w:suppressAutoHyphens w:val="0"/>
        <w:spacing w:line="276" w:lineRule="auto"/>
        <w:ind w:firstLine="567"/>
        <w:jc w:val="both"/>
        <w:rPr>
          <w:rFonts w:asciiTheme="minorHAnsi" w:eastAsia="Calibri Light" w:hAnsiTheme="minorHAnsi" w:cstheme="minorHAnsi"/>
          <w:b/>
          <w:sz w:val="22"/>
          <w:szCs w:val="22"/>
        </w:rPr>
      </w:pPr>
      <w:r w:rsidRPr="00366F93">
        <w:rPr>
          <w:rFonts w:asciiTheme="minorHAnsi" w:eastAsia="Calibri Light" w:hAnsiTheme="minorHAnsi" w:cstheme="minorHAnsi"/>
          <w:b/>
          <w:sz w:val="22"/>
          <w:szCs w:val="22"/>
        </w:rPr>
        <w:t xml:space="preserve"> </w:t>
      </w:r>
      <w:r w:rsidRPr="00366F93">
        <w:rPr>
          <w:rFonts w:asciiTheme="minorHAnsi" w:eastAsia="Calibri Light" w:hAnsiTheme="minorHAnsi" w:cstheme="minorHAnsi"/>
          <w:sz w:val="22"/>
          <w:szCs w:val="22"/>
        </w:rPr>
        <w:t>Declaração de inidoneidade para licitar e contratar com a Administração Pública enquanto perdurarem os motivos determinantes da punição ou até que seja promovida a reabilitação perante a própria autoridade que aplicou a penalidade;</w:t>
      </w:r>
    </w:p>
    <w:p w14:paraId="10994AA1"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Nenhuma sanção será aplicada sem o devido processo administrativo, que prevê defesa</w:t>
      </w:r>
      <w:r w:rsidRPr="00366F93">
        <w:rPr>
          <w:rFonts w:asciiTheme="minorHAnsi" w:eastAsia="Calibri Light" w:hAnsiTheme="minorHAnsi" w:cstheme="minorHAnsi"/>
          <w:b/>
          <w:sz w:val="22"/>
          <w:szCs w:val="22"/>
        </w:rPr>
        <w:t xml:space="preserve"> </w:t>
      </w:r>
      <w:r w:rsidRPr="00366F93">
        <w:rPr>
          <w:rFonts w:asciiTheme="minorHAnsi" w:eastAsia="Calibri Light" w:hAnsiTheme="minorHAnsi" w:cstheme="minorHAnsi"/>
          <w:sz w:val="22"/>
          <w:szCs w:val="22"/>
        </w:rPr>
        <w:t>prévia do interessado e recurso nos prazos definidos em lei, sendo-lhe franqueada vista ao processo.</w:t>
      </w:r>
    </w:p>
    <w:p w14:paraId="63D0B4B0"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As penalidades contratuais poderão ser: advertência, multa, rescisão de contrato/CONTRATO, declaração de inidoneidade e suspensão temporária de participação em licitação. Essas penalidades poderão ser aplicadas a critério da CONTRATANTE.</w:t>
      </w:r>
    </w:p>
    <w:p w14:paraId="58B0B89A" w14:textId="77777777" w:rsidR="00D22EB9" w:rsidRPr="00366F93" w:rsidRDefault="00D22EB9" w:rsidP="00717F27">
      <w:pPr>
        <w:widowControl/>
        <w:numPr>
          <w:ilvl w:val="1"/>
          <w:numId w:val="9"/>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Será aplicada multa nas seguintes condições:</w:t>
      </w:r>
    </w:p>
    <w:p w14:paraId="0EA6BEAB"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atraso injustificado na entrega de parte ou do total de item empenhado, será aplicada multa de 0,5% (meio por cento) sobre o valor da parcela inadimplida do item, por dia útil de atraso, até o limite de 10 (dez) dias úteis;</w:t>
      </w:r>
    </w:p>
    <w:p w14:paraId="2DED6DFB"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lastRenderedPageBreak/>
        <w:t xml:space="preserve"> </w:t>
      </w:r>
      <w:r w:rsidRPr="00366F93">
        <w:rPr>
          <w:rFonts w:asciiTheme="minorHAnsi" w:eastAsia="Calibri Light" w:hAnsiTheme="minorHAnsi" w:cstheme="minorHAnsi"/>
          <w:sz w:val="22"/>
          <w:szCs w:val="22"/>
        </w:rPr>
        <w:t>No caso de novo atraso injustificado na entrega de parte ou do total do mesmo ou de outro item empenhado, referente à mesma ARP ou Contrato do item da alínea anterior, será configurada a reincidência de atraso, sendo aplicada a multa de 1,0% (um por cento) sobre o valor da parcela inadimplida, por dia útil de atraso, até o limite de 10 (dez) dias úteis;</w:t>
      </w:r>
    </w:p>
    <w:p w14:paraId="08A0F115"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inexecução parcial do item empenhado, configurada quando houver atraso injustificado para entrega de parte divisível do item empenhado que supere o prazo máximo de 10 (dez) dias úteis estabelecido na alínea “a”, será aplicada multa de até 15% (quinze por cento) sobre o valor da parte inadimplida;</w:t>
      </w:r>
    </w:p>
    <w:p w14:paraId="214D5D44"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nova inexecução parcial do mesmo ou de outro item empenhado, referente à mesma ARP ou Contrato do item da alínea anterior, será configurada a reincidência de inexecução parcial, sendo aplicada a multa de até 20% (vinte por cento) sobre o valor da parte inadimplida;</w:t>
      </w:r>
    </w:p>
    <w:p w14:paraId="2FFFBABE"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inexecução total do item empenhado, configurada quando houver atraso injustificado para entrega total do item empenhado que supere o prazo máximo de 10 (dez) dias úteis estabelecido na alínea “a”, será aplicada multa de até 30% (trinta por cento) sobre o valor total do item empenhado;</w:t>
      </w:r>
    </w:p>
    <w:p w14:paraId="00ABD7FB" w14:textId="77777777" w:rsidR="00D22EB9" w:rsidRPr="00366F93" w:rsidRDefault="00D22EB9" w:rsidP="00717F27">
      <w:pPr>
        <w:pStyle w:val="PargrafodaLista"/>
        <w:widowControl/>
        <w:numPr>
          <w:ilvl w:val="0"/>
          <w:numId w:val="6"/>
        </w:numPr>
        <w:suppressAutoHyphens w:val="0"/>
        <w:spacing w:line="276" w:lineRule="auto"/>
        <w:ind w:left="0" w:firstLine="567"/>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No caso de nova inexecução total do mesmo ou de outro item empenhado, referente à mesma ARP ou Contrato da alínea anterior, será configurada a reincidência de inexecução total, sendo aplicada a multa de até 35% (trinta e cinco por cento) sobre o valor total do item empenhado.</w:t>
      </w:r>
    </w:p>
    <w:p w14:paraId="5B895A33" w14:textId="77777777" w:rsidR="00D22EB9" w:rsidRPr="00366F93" w:rsidRDefault="00D22EB9" w:rsidP="00717F27">
      <w:pPr>
        <w:widowControl/>
        <w:numPr>
          <w:ilvl w:val="1"/>
          <w:numId w:val="10"/>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Pelo descumprimento injustificado de outras obrigações que não configurem atraso ou inexecução total ou parcial do objeto, será aplicada multa de 0,2% (zero vírgula dois por cento) sobre o valor total do pedido;</w:t>
      </w:r>
    </w:p>
    <w:p w14:paraId="3F564233" w14:textId="77777777" w:rsidR="00D22EB9" w:rsidRPr="00366F93" w:rsidRDefault="00D22EB9" w:rsidP="00717F27">
      <w:pPr>
        <w:widowControl/>
        <w:numPr>
          <w:ilvl w:val="1"/>
          <w:numId w:val="10"/>
        </w:numPr>
        <w:suppressAutoHyphens w:val="0"/>
        <w:spacing w:line="276" w:lineRule="auto"/>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Em caso de reincidência, será aplicada a multa de 0,4% (zero vírgula quatro por cento) sobre o valor total do pedido.</w:t>
      </w:r>
    </w:p>
    <w:p w14:paraId="6B368481" w14:textId="77777777" w:rsidR="00D22EB9" w:rsidRPr="00366F93" w:rsidRDefault="00D22EB9" w:rsidP="00717F27">
      <w:pPr>
        <w:widowControl/>
        <w:numPr>
          <w:ilvl w:val="1"/>
          <w:numId w:val="10"/>
        </w:numPr>
        <w:suppressAutoHyphens w:val="0"/>
        <w:spacing w:line="276" w:lineRule="auto"/>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Pr="00366F93">
        <w:rPr>
          <w:rFonts w:asciiTheme="minorHAnsi" w:eastAsia="Calibri Light" w:hAnsiTheme="minorHAnsi" w:cstheme="minorHAnsi"/>
          <w:sz w:val="22"/>
          <w:szCs w:val="22"/>
        </w:rPr>
        <w:t>A fixação da multa compensatória referida nas alíneas “d, e, f” no item 10.9 não obsta o ajuizamento de demanda buscando indenização suplementar em favor do CONSAMU, sendo o dano superior ao percentual referido;</w:t>
      </w:r>
    </w:p>
    <w:p w14:paraId="25862ADF" w14:textId="77777777" w:rsidR="00D22EB9" w:rsidRPr="00366F93" w:rsidRDefault="00D22EB9" w:rsidP="00717F27">
      <w:pPr>
        <w:pStyle w:val="PargrafodaLista"/>
        <w:widowControl/>
        <w:numPr>
          <w:ilvl w:val="1"/>
          <w:numId w:val="10"/>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O valor da multa poderá ser descontado da fatura devida ao fornecedor;</w:t>
      </w:r>
    </w:p>
    <w:p w14:paraId="272776F8" w14:textId="77777777" w:rsidR="00D22EB9" w:rsidRDefault="00D22EB9" w:rsidP="00717F27">
      <w:pPr>
        <w:pStyle w:val="PargrafodaLista"/>
        <w:widowControl/>
        <w:numPr>
          <w:ilvl w:val="1"/>
          <w:numId w:val="10"/>
        </w:numPr>
        <w:suppressAutoHyphens w:val="0"/>
        <w:spacing w:line="276" w:lineRule="auto"/>
        <w:jc w:val="both"/>
        <w:rPr>
          <w:rFonts w:asciiTheme="minorHAnsi" w:eastAsia="Calibri Light" w:hAnsiTheme="minorHAnsi" w:cstheme="minorHAnsi"/>
          <w:sz w:val="22"/>
          <w:szCs w:val="22"/>
        </w:rPr>
      </w:pPr>
      <w:r w:rsidRPr="00366F93">
        <w:rPr>
          <w:rFonts w:asciiTheme="minorHAnsi" w:eastAsia="Calibri Light" w:hAnsiTheme="minorHAnsi" w:cstheme="minorHAnsi"/>
          <w:sz w:val="22"/>
          <w:szCs w:val="22"/>
        </w:rPr>
        <w:t xml:space="preserve"> Se o valor da fatura for insuficiente, fica o fornecedor obrigado a recolher a importância devida no prazo de 15 (quinze) dias, contados da comunicação oficial.</w:t>
      </w:r>
    </w:p>
    <w:p w14:paraId="50D66B07" w14:textId="77777777" w:rsidR="00AB74AC" w:rsidRPr="00043C67" w:rsidRDefault="00AB74AC" w:rsidP="00717F27">
      <w:pPr>
        <w:pStyle w:val="PargrafodaLista"/>
        <w:widowControl/>
        <w:suppressAutoHyphens w:val="0"/>
        <w:spacing w:line="276" w:lineRule="auto"/>
        <w:ind w:left="567"/>
        <w:jc w:val="both"/>
        <w:rPr>
          <w:rFonts w:asciiTheme="minorHAnsi" w:eastAsia="Calibri Light" w:hAnsiTheme="minorHAnsi" w:cstheme="minorHAnsi"/>
          <w:sz w:val="22"/>
          <w:szCs w:val="22"/>
        </w:rPr>
      </w:pPr>
    </w:p>
    <w:p w14:paraId="4CD4CDEC" w14:textId="77777777" w:rsidR="00944C2C"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944C2C" w:rsidRPr="00D22EB9">
        <w:rPr>
          <w:rFonts w:ascii="Calibri" w:hAnsi="Calibri"/>
          <w:sz w:val="22"/>
        </w:rPr>
        <w:t>DO REAJUSTE</w:t>
      </w:r>
    </w:p>
    <w:p w14:paraId="1AECC388" w14:textId="77777777" w:rsidR="00E43532" w:rsidRPr="00D22EB9" w:rsidRDefault="00E43532" w:rsidP="00717F27">
      <w:pPr>
        <w:pStyle w:val="PargrafodaLista"/>
        <w:widowControl/>
        <w:numPr>
          <w:ilvl w:val="1"/>
          <w:numId w:val="11"/>
        </w:numPr>
        <w:suppressAutoHyphens w:val="0"/>
        <w:spacing w:line="276" w:lineRule="auto"/>
        <w:jc w:val="both"/>
        <w:rPr>
          <w:rFonts w:asciiTheme="minorHAnsi" w:eastAsia="Calibri Light" w:hAnsiTheme="minorHAnsi" w:cstheme="minorHAnsi"/>
          <w:sz w:val="22"/>
          <w:szCs w:val="22"/>
        </w:rPr>
      </w:pPr>
      <w:r w:rsidRPr="00D22EB9">
        <w:rPr>
          <w:rFonts w:asciiTheme="minorHAnsi" w:eastAsia="Calibri Light" w:hAnsiTheme="minorHAnsi" w:cstheme="minorHAnsi"/>
          <w:sz w:val="22"/>
          <w:szCs w:val="22"/>
        </w:rPr>
        <w:t xml:space="preserve"> Os preços são fixos e irreajustáveis no prazo de um ano contado da data de publicação do contrato. </w:t>
      </w:r>
    </w:p>
    <w:p w14:paraId="0816085C" w14:textId="77777777" w:rsidR="00E43532" w:rsidRPr="00D22EB9" w:rsidRDefault="00E43532" w:rsidP="00717F27">
      <w:pPr>
        <w:pStyle w:val="PargrafodaLista"/>
        <w:widowControl/>
        <w:numPr>
          <w:ilvl w:val="1"/>
          <w:numId w:val="11"/>
        </w:numPr>
        <w:suppressAutoHyphens w:val="0"/>
        <w:spacing w:line="276" w:lineRule="auto"/>
        <w:jc w:val="both"/>
        <w:rPr>
          <w:rFonts w:asciiTheme="minorHAnsi" w:eastAsia="Calibri Light" w:hAnsiTheme="minorHAnsi" w:cstheme="minorHAnsi"/>
          <w:sz w:val="22"/>
          <w:szCs w:val="22"/>
        </w:rPr>
      </w:pPr>
      <w:r w:rsidRPr="00D22EB9">
        <w:rPr>
          <w:rFonts w:asciiTheme="minorHAnsi" w:eastAsia="Calibri Light" w:hAnsiTheme="minorHAnsi" w:cstheme="minorHAnsi"/>
          <w:sz w:val="22"/>
          <w:szCs w:val="22"/>
        </w:rPr>
        <w:t xml:space="preserve"> Dentro do prazo de vigência do contrato e mediante solicitação da contratada, os preços contratados poderão sofrer reajuste após o intervalo de um ano, aplicando-se o índice IPCA/IBGE ou outro índice que vier substituí-lo nos termos do art. 65 da Lei nº 8.666/93 estabelecido em comum acordo pelas partes exclusivamente para as obrigações iniciadas e concluídas após a ocorrência da anualidade.</w:t>
      </w:r>
    </w:p>
    <w:p w14:paraId="504B5DA1" w14:textId="77777777" w:rsidR="007A05CE" w:rsidRPr="00043C67" w:rsidRDefault="007A05CE" w:rsidP="00717F27">
      <w:pPr>
        <w:spacing w:line="276" w:lineRule="auto"/>
        <w:ind w:firstLine="284"/>
        <w:jc w:val="both"/>
        <w:rPr>
          <w:rFonts w:asciiTheme="minorHAnsi" w:eastAsia="Calibri Light" w:hAnsiTheme="minorHAnsi" w:cstheme="minorHAnsi"/>
          <w:sz w:val="22"/>
          <w:szCs w:val="22"/>
        </w:rPr>
      </w:pPr>
    </w:p>
    <w:p w14:paraId="7653C9C5" w14:textId="77777777" w:rsidR="00E80A02"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DA GARANTIA DE E DA GARANTIA DE EXECUÇÃO</w:t>
      </w:r>
    </w:p>
    <w:p w14:paraId="07707412" w14:textId="25C0180F" w:rsidR="00F46765" w:rsidRPr="00D22EB9" w:rsidRDefault="00D22EB9" w:rsidP="00717F27">
      <w:pPr>
        <w:pStyle w:val="PargrafodaLista"/>
        <w:widowControl/>
        <w:numPr>
          <w:ilvl w:val="1"/>
          <w:numId w:val="12"/>
        </w:numPr>
        <w:suppressAutoHyphens w:val="0"/>
        <w:spacing w:line="276" w:lineRule="auto"/>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00F46765" w:rsidRPr="00D22EB9">
        <w:rPr>
          <w:rFonts w:asciiTheme="minorHAnsi" w:eastAsia="Calibri Light" w:hAnsiTheme="minorHAnsi" w:cstheme="minorHAnsi"/>
          <w:sz w:val="22"/>
          <w:szCs w:val="22"/>
        </w:rPr>
        <w:t xml:space="preserve">Não haverá exigência de garantia contratual da execução. </w:t>
      </w:r>
    </w:p>
    <w:p w14:paraId="0021806E" w14:textId="77777777" w:rsidR="00042F5F" w:rsidRPr="00043C67" w:rsidRDefault="00042F5F" w:rsidP="00717F27">
      <w:pPr>
        <w:widowControl/>
        <w:suppressAutoHyphens w:val="0"/>
        <w:spacing w:line="276" w:lineRule="auto"/>
        <w:ind w:firstLine="284"/>
        <w:jc w:val="both"/>
        <w:rPr>
          <w:rFonts w:asciiTheme="minorHAnsi" w:eastAsia="Calibri Light" w:hAnsiTheme="minorHAnsi" w:cstheme="minorHAnsi"/>
          <w:sz w:val="22"/>
          <w:szCs w:val="22"/>
        </w:rPr>
      </w:pPr>
    </w:p>
    <w:p w14:paraId="20489DAE"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 xml:space="preserve">DOS RECURSOS ORÇAMENTÁRIOS </w:t>
      </w:r>
    </w:p>
    <w:p w14:paraId="1CD5EC03" w14:textId="4878C87C" w:rsidR="00F46765" w:rsidRPr="00043C67" w:rsidRDefault="00D22EB9" w:rsidP="00717F27">
      <w:pPr>
        <w:pStyle w:val="PargrafodaLista"/>
        <w:widowControl/>
        <w:numPr>
          <w:ilvl w:val="1"/>
          <w:numId w:val="13"/>
        </w:numPr>
        <w:suppressAutoHyphens w:val="0"/>
        <w:spacing w:line="276" w:lineRule="auto"/>
        <w:jc w:val="both"/>
        <w:rPr>
          <w:rFonts w:asciiTheme="minorHAnsi" w:eastAsia="Calibri Light" w:hAnsiTheme="minorHAnsi" w:cstheme="minorHAnsi"/>
          <w:sz w:val="22"/>
          <w:szCs w:val="22"/>
        </w:rPr>
      </w:pPr>
      <w:r>
        <w:rPr>
          <w:rFonts w:asciiTheme="minorHAnsi" w:eastAsia="Calibri Light" w:hAnsiTheme="minorHAnsi" w:cstheme="minorHAnsi"/>
          <w:sz w:val="22"/>
          <w:szCs w:val="22"/>
        </w:rPr>
        <w:t xml:space="preserve"> </w:t>
      </w:r>
      <w:r w:rsidR="00F46765" w:rsidRPr="00043C67">
        <w:rPr>
          <w:rFonts w:asciiTheme="minorHAnsi" w:eastAsia="Calibri Light" w:hAnsiTheme="minorHAnsi" w:cstheme="minorHAnsi"/>
          <w:sz w:val="22"/>
          <w:szCs w:val="22"/>
        </w:rPr>
        <w:t xml:space="preserve">As despesas decorrentes </w:t>
      </w:r>
      <w:r w:rsidR="000234A1" w:rsidRPr="00043C67">
        <w:rPr>
          <w:rFonts w:asciiTheme="minorHAnsi" w:eastAsia="Calibri Light" w:hAnsiTheme="minorHAnsi" w:cstheme="minorHAnsi"/>
          <w:sz w:val="22"/>
          <w:szCs w:val="22"/>
        </w:rPr>
        <w:t>desta contratação</w:t>
      </w:r>
      <w:r w:rsidR="00F46765" w:rsidRPr="00043C67">
        <w:rPr>
          <w:rFonts w:asciiTheme="minorHAnsi" w:eastAsia="Calibri Light" w:hAnsiTheme="minorHAnsi" w:cstheme="minorHAnsi"/>
          <w:sz w:val="22"/>
          <w:szCs w:val="22"/>
        </w:rPr>
        <w:t xml:space="preserve"> correrão conforme as dotações especificadas </w:t>
      </w:r>
      <w:r>
        <w:rPr>
          <w:rFonts w:asciiTheme="minorHAnsi" w:eastAsia="Calibri Light" w:hAnsiTheme="minorHAnsi" w:cstheme="minorHAnsi"/>
          <w:sz w:val="22"/>
          <w:szCs w:val="22"/>
        </w:rPr>
        <w:t xml:space="preserve">no Proc. Administrativo </w:t>
      </w:r>
      <w:r>
        <w:rPr>
          <w:rFonts w:asciiTheme="minorHAnsi" w:eastAsia="Calibri Light" w:hAnsiTheme="minorHAnsi" w:cstheme="minorHAnsi"/>
          <w:color w:val="FF0000"/>
          <w:sz w:val="22"/>
          <w:szCs w:val="22"/>
        </w:rPr>
        <w:t>xxx/xxxx</w:t>
      </w:r>
      <w:r>
        <w:rPr>
          <w:rFonts w:asciiTheme="minorHAnsi" w:eastAsia="Calibri Light" w:hAnsiTheme="minorHAnsi" w:cstheme="minorHAnsi"/>
          <w:sz w:val="22"/>
          <w:szCs w:val="22"/>
        </w:rPr>
        <w:t>.</w:t>
      </w:r>
    </w:p>
    <w:p w14:paraId="55CC021C" w14:textId="77777777" w:rsidR="00365240" w:rsidRPr="00043C67" w:rsidRDefault="00365240" w:rsidP="00717F27">
      <w:pPr>
        <w:widowControl/>
        <w:suppressAutoHyphens w:val="0"/>
        <w:spacing w:line="276" w:lineRule="auto"/>
        <w:ind w:firstLine="284"/>
        <w:jc w:val="both"/>
        <w:rPr>
          <w:rFonts w:asciiTheme="minorHAnsi" w:eastAsia="Calibri Light" w:hAnsiTheme="minorHAnsi" w:cstheme="minorHAnsi"/>
          <w:sz w:val="22"/>
          <w:szCs w:val="22"/>
        </w:rPr>
      </w:pPr>
    </w:p>
    <w:p w14:paraId="0E79CFE8" w14:textId="77777777" w:rsidR="00F46765" w:rsidRPr="00D22EB9" w:rsidRDefault="000B567D"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 xml:space="preserve"> </w:t>
      </w:r>
      <w:r w:rsidR="00F46765" w:rsidRPr="00D22EB9">
        <w:rPr>
          <w:rFonts w:ascii="Calibri" w:hAnsi="Calibri"/>
          <w:sz w:val="22"/>
        </w:rPr>
        <w:t>RESPONSÁVEL</w:t>
      </w:r>
    </w:p>
    <w:p w14:paraId="7229A1B0" w14:textId="421F4E06" w:rsidR="00F46765" w:rsidRDefault="00E80A02" w:rsidP="00717F27">
      <w:pPr>
        <w:pStyle w:val="PargrafodaLista"/>
        <w:widowControl/>
        <w:numPr>
          <w:ilvl w:val="1"/>
          <w:numId w:val="14"/>
        </w:numPr>
        <w:suppressAutoHyphens w:val="0"/>
        <w:spacing w:line="276" w:lineRule="auto"/>
        <w:jc w:val="both"/>
        <w:rPr>
          <w:rFonts w:asciiTheme="minorHAnsi" w:eastAsia="Calibri Light" w:hAnsiTheme="minorHAnsi" w:cstheme="minorHAnsi"/>
          <w:sz w:val="22"/>
          <w:szCs w:val="22"/>
        </w:rPr>
      </w:pPr>
      <w:r w:rsidRPr="00D22EB9">
        <w:rPr>
          <w:rFonts w:asciiTheme="minorHAnsi" w:eastAsia="Calibri Light" w:hAnsiTheme="minorHAnsi" w:cstheme="minorHAnsi"/>
          <w:sz w:val="22"/>
          <w:szCs w:val="22"/>
        </w:rPr>
        <w:t xml:space="preserve"> </w:t>
      </w:r>
      <w:r w:rsidR="00F46765" w:rsidRPr="00D22EB9">
        <w:rPr>
          <w:rFonts w:asciiTheme="minorHAnsi" w:eastAsia="Calibri Light" w:hAnsiTheme="minorHAnsi" w:cstheme="minorHAnsi"/>
          <w:sz w:val="22"/>
          <w:szCs w:val="22"/>
        </w:rPr>
        <w:t>Os representantes do CONSAMU, fiscal e suplente, especialmente designados por documento oficial (Portaria) anexo ao processo serão os responsáveis pelo acompanhamento e fiscalização da execução deste serviço, oportunidade em que serão atestadas as notas fiscais/faturas.</w:t>
      </w:r>
    </w:p>
    <w:p w14:paraId="4601071C" w14:textId="77777777" w:rsidR="00D22EB9" w:rsidRPr="00D22EB9" w:rsidRDefault="00D22EB9" w:rsidP="00717F27">
      <w:pPr>
        <w:pStyle w:val="PargrafodaLista"/>
        <w:widowControl/>
        <w:suppressAutoHyphens w:val="0"/>
        <w:spacing w:line="276" w:lineRule="auto"/>
        <w:ind w:left="284"/>
        <w:jc w:val="both"/>
        <w:rPr>
          <w:rFonts w:asciiTheme="minorHAnsi" w:eastAsia="Calibri Light" w:hAnsiTheme="minorHAnsi" w:cstheme="minorHAnsi"/>
          <w:sz w:val="22"/>
          <w:szCs w:val="22"/>
        </w:rPr>
      </w:pPr>
    </w:p>
    <w:p w14:paraId="4D12CC80" w14:textId="50860FF7" w:rsidR="00F46765" w:rsidRPr="00D22EB9" w:rsidRDefault="00F46765" w:rsidP="00717F27">
      <w:pPr>
        <w:pStyle w:val="Nivel1"/>
        <w:numPr>
          <w:ilvl w:val="0"/>
          <w:numId w:val="1"/>
        </w:numPr>
        <w:shd w:val="clear" w:color="auto" w:fill="D9D9D9" w:themeFill="background1" w:themeFillShade="D9"/>
        <w:spacing w:before="0" w:after="0"/>
        <w:ind w:left="360"/>
        <w:rPr>
          <w:rFonts w:ascii="Calibri" w:hAnsi="Calibri"/>
          <w:sz w:val="22"/>
        </w:rPr>
      </w:pPr>
      <w:r w:rsidRPr="00D22EB9">
        <w:rPr>
          <w:rFonts w:ascii="Calibri" w:hAnsi="Calibri"/>
          <w:sz w:val="22"/>
        </w:rPr>
        <w:t>CONSIDERAÇÕES FINAIS</w:t>
      </w:r>
    </w:p>
    <w:p w14:paraId="653C18B9" w14:textId="77777777" w:rsidR="00F46765" w:rsidRPr="00D22EB9" w:rsidRDefault="00E80A02" w:rsidP="00717F27">
      <w:pPr>
        <w:pStyle w:val="PargrafodaLista"/>
        <w:widowControl/>
        <w:numPr>
          <w:ilvl w:val="1"/>
          <w:numId w:val="15"/>
        </w:numPr>
        <w:suppressAutoHyphens w:val="0"/>
        <w:spacing w:line="276" w:lineRule="auto"/>
        <w:jc w:val="both"/>
        <w:rPr>
          <w:rFonts w:asciiTheme="minorHAnsi" w:eastAsia="Calibri Light" w:hAnsiTheme="minorHAnsi" w:cstheme="minorHAnsi"/>
          <w:sz w:val="22"/>
          <w:szCs w:val="22"/>
        </w:rPr>
      </w:pPr>
      <w:r w:rsidRPr="00D22EB9">
        <w:rPr>
          <w:rFonts w:asciiTheme="minorHAnsi" w:eastAsia="Calibri Light" w:hAnsiTheme="minorHAnsi" w:cstheme="minorHAnsi"/>
          <w:sz w:val="22"/>
          <w:szCs w:val="22"/>
        </w:rPr>
        <w:t xml:space="preserve"> </w:t>
      </w:r>
      <w:r w:rsidR="00F46765" w:rsidRPr="00D22EB9">
        <w:rPr>
          <w:rFonts w:asciiTheme="minorHAnsi" w:eastAsia="Calibri Light" w:hAnsiTheme="minorHAnsi" w:cstheme="minorHAnsi"/>
          <w:sz w:val="22"/>
          <w:szCs w:val="22"/>
        </w:rPr>
        <w:t>O valor estimado foi efetuado com base no valor de mercado.</w:t>
      </w:r>
    </w:p>
    <w:p w14:paraId="645BADE7" w14:textId="77777777" w:rsidR="00CE02BD" w:rsidRPr="00CE02BD" w:rsidRDefault="00CE02BD" w:rsidP="00CE02BD">
      <w:pPr>
        <w:pStyle w:val="PargrafodaLista"/>
        <w:spacing w:line="360" w:lineRule="auto"/>
        <w:ind w:firstLine="284"/>
        <w:jc w:val="right"/>
        <w:rPr>
          <w:rFonts w:asciiTheme="minorHAnsi" w:hAnsiTheme="minorHAnsi" w:cstheme="minorHAnsi"/>
          <w:sz w:val="22"/>
          <w:szCs w:val="22"/>
        </w:rPr>
      </w:pPr>
      <w:r w:rsidRPr="00CE02BD">
        <w:rPr>
          <w:rFonts w:asciiTheme="minorHAnsi" w:hAnsiTheme="minorHAnsi" w:cstheme="minorHAnsi"/>
          <w:sz w:val="22"/>
          <w:szCs w:val="22"/>
        </w:rPr>
        <w:t>Cascavel - PR, xx de xxxxxxxxxx de 2022.</w:t>
      </w:r>
    </w:p>
    <w:p w14:paraId="2C2B5481" w14:textId="77777777" w:rsidR="00CE02BD" w:rsidRPr="00CE02BD" w:rsidRDefault="00CE02BD" w:rsidP="00CE02BD">
      <w:pPr>
        <w:pStyle w:val="PargrafodaLista"/>
        <w:spacing w:line="360" w:lineRule="auto"/>
        <w:ind w:firstLine="284"/>
        <w:jc w:val="right"/>
        <w:rPr>
          <w:rFonts w:asciiTheme="minorHAnsi" w:hAnsiTheme="minorHAnsi" w:cstheme="minorHAnsi"/>
          <w:sz w:val="22"/>
          <w:szCs w:val="22"/>
        </w:rPr>
      </w:pPr>
    </w:p>
    <w:p w14:paraId="1555ADAF" w14:textId="77777777" w:rsidR="00CE02BD" w:rsidRPr="00CE02BD" w:rsidRDefault="00CE02BD" w:rsidP="00CE02BD">
      <w:pPr>
        <w:pStyle w:val="PargrafodaLista"/>
        <w:spacing w:line="360" w:lineRule="auto"/>
        <w:ind w:firstLine="284"/>
        <w:jc w:val="right"/>
        <w:rPr>
          <w:rFonts w:asciiTheme="minorHAnsi" w:hAnsiTheme="minorHAnsi" w:cstheme="minorHAnsi"/>
          <w:sz w:val="22"/>
          <w:szCs w:val="22"/>
        </w:rPr>
      </w:pPr>
    </w:p>
    <w:p w14:paraId="12F4DDBB" w14:textId="121A9794" w:rsidR="00CE02BD" w:rsidRPr="00CE02BD" w:rsidRDefault="00CE02BD" w:rsidP="00CE02BD">
      <w:pPr>
        <w:pStyle w:val="PargrafodaLista"/>
        <w:ind w:left="709" w:firstLine="284"/>
        <w:jc w:val="center"/>
        <w:rPr>
          <w:rFonts w:asciiTheme="minorHAnsi" w:hAnsiTheme="minorHAnsi" w:cstheme="minorHAnsi"/>
          <w:sz w:val="22"/>
          <w:szCs w:val="22"/>
        </w:rPr>
      </w:pPr>
      <w:r w:rsidRPr="00CE02BD">
        <w:rPr>
          <w:rFonts w:asciiTheme="minorHAnsi" w:hAnsiTheme="minorHAnsi" w:cstheme="minorHAnsi"/>
          <w:sz w:val="22"/>
          <w:szCs w:val="22"/>
        </w:rPr>
        <w:t>(assinado digitalmente por)</w:t>
      </w:r>
    </w:p>
    <w:p w14:paraId="56EB0987" w14:textId="2135B427" w:rsidR="00CE02BD" w:rsidRPr="00CE02BD" w:rsidRDefault="00CE02BD" w:rsidP="00CE02BD">
      <w:pPr>
        <w:pStyle w:val="PargrafodaLista"/>
        <w:ind w:left="709" w:firstLine="284"/>
        <w:jc w:val="center"/>
        <w:rPr>
          <w:rFonts w:asciiTheme="minorHAnsi" w:hAnsiTheme="minorHAnsi" w:cstheme="minorHAnsi"/>
          <w:sz w:val="22"/>
          <w:szCs w:val="22"/>
        </w:rPr>
      </w:pPr>
      <w:r w:rsidRPr="00CE02BD">
        <w:rPr>
          <w:rFonts w:asciiTheme="minorHAnsi" w:hAnsiTheme="minorHAnsi" w:cstheme="minorHAnsi"/>
          <w:sz w:val="22"/>
          <w:szCs w:val="22"/>
        </w:rPr>
        <w:t>Nome do Responsável Emissor</w:t>
      </w:r>
    </w:p>
    <w:p w14:paraId="11D95B89" w14:textId="244CF62A" w:rsidR="00CE02BD" w:rsidRPr="00CE02BD" w:rsidRDefault="00CE02BD" w:rsidP="00CE02BD">
      <w:pPr>
        <w:pStyle w:val="PargrafodaLista"/>
        <w:ind w:left="709" w:firstLine="284"/>
        <w:jc w:val="center"/>
        <w:rPr>
          <w:rFonts w:asciiTheme="minorHAnsi" w:hAnsiTheme="minorHAnsi" w:cstheme="minorHAnsi"/>
          <w:sz w:val="22"/>
          <w:szCs w:val="22"/>
        </w:rPr>
      </w:pPr>
      <w:r w:rsidRPr="00CE02BD">
        <w:rPr>
          <w:rFonts w:asciiTheme="minorHAnsi" w:hAnsiTheme="minorHAnsi" w:cstheme="minorHAnsi"/>
          <w:sz w:val="22"/>
          <w:szCs w:val="22"/>
        </w:rPr>
        <w:t>Matrícula</w:t>
      </w:r>
    </w:p>
    <w:p w14:paraId="5A9941ED" w14:textId="378C735D" w:rsidR="00CE02BD" w:rsidRPr="00CE02BD" w:rsidRDefault="00CE02BD" w:rsidP="00CE02BD">
      <w:pPr>
        <w:pStyle w:val="PargrafodaLista"/>
        <w:ind w:left="709" w:firstLine="284"/>
        <w:jc w:val="center"/>
        <w:rPr>
          <w:rFonts w:asciiTheme="minorHAnsi" w:hAnsiTheme="minorHAnsi" w:cstheme="minorHAnsi"/>
          <w:sz w:val="22"/>
          <w:szCs w:val="22"/>
        </w:rPr>
      </w:pPr>
      <w:r w:rsidRPr="00CE02BD">
        <w:rPr>
          <w:rFonts w:asciiTheme="minorHAnsi" w:hAnsiTheme="minorHAnsi" w:cstheme="minorHAnsi"/>
          <w:sz w:val="22"/>
          <w:szCs w:val="22"/>
        </w:rPr>
        <w:t>Cargo</w:t>
      </w:r>
    </w:p>
    <w:p w14:paraId="34F0FB0D" w14:textId="7B7576CE" w:rsidR="001D53E3" w:rsidRPr="00043C67" w:rsidRDefault="00B61699" w:rsidP="00CE02BD">
      <w:pPr>
        <w:pStyle w:val="PargrafodaLista"/>
        <w:spacing w:line="360" w:lineRule="auto"/>
        <w:ind w:left="0" w:firstLine="284"/>
        <w:jc w:val="right"/>
        <w:rPr>
          <w:rFonts w:asciiTheme="minorHAnsi" w:hAnsiTheme="minorHAnsi" w:cstheme="minorHAnsi"/>
          <w:sz w:val="22"/>
          <w:szCs w:val="22"/>
        </w:rPr>
      </w:pPr>
    </w:p>
    <w:sectPr w:rsidR="001D53E3" w:rsidRPr="00043C67" w:rsidSect="009F6FB0">
      <w:headerReference w:type="default" r:id="rId7"/>
      <w:footerReference w:type="default" r:id="rId8"/>
      <w:pgSz w:w="11906" w:h="16838"/>
      <w:pgMar w:top="567" w:right="99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E393" w14:textId="77777777" w:rsidR="00F46765" w:rsidRDefault="00F46765" w:rsidP="00F46765">
      <w:r>
        <w:separator/>
      </w:r>
    </w:p>
  </w:endnote>
  <w:endnote w:type="continuationSeparator" w:id="0">
    <w:p w14:paraId="5B8BBAE1" w14:textId="77777777" w:rsidR="00F46765" w:rsidRDefault="00F46765" w:rsidP="00F4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2610"/>
      <w:docPartObj>
        <w:docPartGallery w:val="Page Numbers (Bottom of Page)"/>
        <w:docPartUnique/>
      </w:docPartObj>
    </w:sdtPr>
    <w:sdtEndPr>
      <w:rPr>
        <w:rFonts w:ascii="Calibri" w:hAnsi="Calibri" w:cs="Calibri"/>
        <w:sz w:val="18"/>
        <w:szCs w:val="18"/>
      </w:rPr>
    </w:sdtEndPr>
    <w:sdtContent>
      <w:sdt>
        <w:sdtPr>
          <w:rPr>
            <w:rFonts w:ascii="Calibri" w:hAnsi="Calibri" w:cs="Calibri"/>
            <w:sz w:val="18"/>
            <w:szCs w:val="18"/>
          </w:rPr>
          <w:id w:val="-1278708620"/>
          <w:docPartObj>
            <w:docPartGallery w:val="Page Numbers (Top of Page)"/>
            <w:docPartUnique/>
          </w:docPartObj>
        </w:sdtPr>
        <w:sdtEndPr/>
        <w:sdtContent>
          <w:p w14:paraId="2E08F6C3" w14:textId="77777777" w:rsidR="006A4C92" w:rsidRPr="009F6FB0" w:rsidRDefault="00B61699" w:rsidP="006A4C92">
            <w:pPr>
              <w:suppressLineNumbers/>
              <w:tabs>
                <w:tab w:val="center" w:pos="4818"/>
              </w:tabs>
              <w:ind w:left="5387" w:right="-567"/>
              <w:jc w:val="center"/>
              <w:rPr>
                <w:rFonts w:ascii="Calibri" w:hAnsi="Calibri" w:cs="Calibri"/>
                <w:sz w:val="18"/>
                <w:szCs w:val="18"/>
              </w:rPr>
            </w:pPr>
            <w:r>
              <w:rPr>
                <w:rFonts w:ascii="Calibri" w:hAnsi="Calibri" w:cs="Calibri"/>
                <w:sz w:val="18"/>
                <w:szCs w:val="18"/>
              </w:rPr>
              <w:pict w14:anchorId="7C426B66">
                <v:rect id="_x0000_i1025" style="width:0;height:1.5pt" o:hralign="center" o:hrstd="t" o:hr="t" fillcolor="#aca899" stroked="f"/>
              </w:pict>
            </w:r>
          </w:p>
          <w:p w14:paraId="28EF56E8" w14:textId="77777777" w:rsidR="006A4C92" w:rsidRPr="009F6FB0" w:rsidRDefault="006A4C92" w:rsidP="006A4C92">
            <w:pPr>
              <w:suppressLineNumbers/>
              <w:tabs>
                <w:tab w:val="center" w:pos="4535"/>
                <w:tab w:val="center" w:pos="4818"/>
                <w:tab w:val="right" w:pos="9071"/>
              </w:tabs>
              <w:ind w:left="5387" w:right="-567"/>
              <w:jc w:val="center"/>
              <w:rPr>
                <w:rFonts w:ascii="Calibri" w:hAnsi="Calibri" w:cs="Calibri"/>
                <w:b/>
                <w:sz w:val="18"/>
                <w:szCs w:val="18"/>
              </w:rPr>
            </w:pPr>
            <w:r w:rsidRPr="009F6FB0">
              <w:rPr>
                <w:rFonts w:ascii="Calibri" w:hAnsi="Calibri" w:cs="Calibri"/>
                <w:b/>
                <w:sz w:val="18"/>
                <w:szCs w:val="18"/>
              </w:rPr>
              <w:t>Sede Administrativa: Rua Uruguai, nº 283</w:t>
            </w:r>
          </w:p>
          <w:p w14:paraId="00E5C160" w14:textId="05515270" w:rsidR="006A4C92" w:rsidRPr="009F6FB0" w:rsidRDefault="006A4C92" w:rsidP="006A4C92">
            <w:pPr>
              <w:suppressLineNumbers/>
              <w:tabs>
                <w:tab w:val="center" w:pos="4535"/>
                <w:tab w:val="center" w:pos="4818"/>
                <w:tab w:val="right" w:pos="9071"/>
              </w:tabs>
              <w:ind w:left="5387" w:right="-567"/>
              <w:jc w:val="center"/>
              <w:rPr>
                <w:rFonts w:ascii="Calibri" w:hAnsi="Calibri" w:cs="Calibri"/>
                <w:b/>
                <w:sz w:val="18"/>
                <w:szCs w:val="18"/>
              </w:rPr>
            </w:pPr>
            <w:r w:rsidRPr="009F6FB0">
              <w:rPr>
                <w:rFonts w:ascii="Calibri" w:hAnsi="Calibri" w:cs="Calibri"/>
                <w:b/>
                <w:sz w:val="18"/>
                <w:szCs w:val="18"/>
              </w:rPr>
              <w:t>Bairro Alto Alegre | CEP 85.805-010 | Cascavel</w:t>
            </w:r>
            <w:r w:rsidR="009F6FB0" w:rsidRPr="009F6FB0">
              <w:rPr>
                <w:rFonts w:ascii="Calibri" w:hAnsi="Calibri" w:cs="Calibri"/>
                <w:b/>
                <w:sz w:val="18"/>
                <w:szCs w:val="18"/>
              </w:rPr>
              <w:t xml:space="preserve"> – PR </w:t>
            </w:r>
          </w:p>
          <w:p w14:paraId="0938311B" w14:textId="77777777" w:rsidR="006A4C92" w:rsidRPr="009F6FB0" w:rsidRDefault="006A4C92" w:rsidP="006A4C92">
            <w:pPr>
              <w:suppressLineNumbers/>
              <w:tabs>
                <w:tab w:val="center" w:pos="4535"/>
                <w:tab w:val="center" w:pos="4818"/>
                <w:tab w:val="right" w:pos="9071"/>
              </w:tabs>
              <w:ind w:left="5387" w:right="-567"/>
              <w:jc w:val="center"/>
              <w:rPr>
                <w:rFonts w:ascii="Calibri" w:hAnsi="Calibri" w:cs="Calibri"/>
                <w:b/>
                <w:sz w:val="18"/>
                <w:szCs w:val="18"/>
              </w:rPr>
            </w:pPr>
            <w:r w:rsidRPr="009F6FB0">
              <w:rPr>
                <w:rFonts w:ascii="Calibri" w:hAnsi="Calibri" w:cs="Calibri"/>
                <w:b/>
                <w:sz w:val="18"/>
                <w:szCs w:val="18"/>
              </w:rPr>
              <w:t xml:space="preserve">Site: </w:t>
            </w:r>
            <w:hyperlink r:id="rId1" w:history="1">
              <w:r w:rsidRPr="009F6FB0">
                <w:rPr>
                  <w:rStyle w:val="Hyperlink"/>
                  <w:rFonts w:ascii="Calibri" w:eastAsia="MS Gothic" w:hAnsi="Calibri" w:cs="Calibri"/>
                  <w:b/>
                  <w:sz w:val="18"/>
                  <w:szCs w:val="18"/>
                </w:rPr>
                <w:t>www.consamu.com.br</w:t>
              </w:r>
            </w:hyperlink>
          </w:p>
          <w:p w14:paraId="4BC0993F" w14:textId="77777777" w:rsidR="006A4C92" w:rsidRPr="009F6FB0" w:rsidRDefault="006A4C92" w:rsidP="006A4C92">
            <w:pPr>
              <w:suppressLineNumbers/>
              <w:tabs>
                <w:tab w:val="center" w:pos="4535"/>
                <w:tab w:val="center" w:pos="4818"/>
                <w:tab w:val="right" w:pos="9071"/>
              </w:tabs>
              <w:ind w:left="5387" w:right="-567"/>
              <w:jc w:val="center"/>
              <w:rPr>
                <w:rFonts w:ascii="Calibri" w:hAnsi="Calibri" w:cs="Calibri"/>
                <w:b/>
                <w:sz w:val="18"/>
                <w:szCs w:val="18"/>
              </w:rPr>
            </w:pPr>
          </w:p>
          <w:p w14:paraId="36C3F352" w14:textId="2743DF39" w:rsidR="007A05CE" w:rsidRPr="009F6FB0" w:rsidRDefault="00923E5E" w:rsidP="006A4C92">
            <w:pPr>
              <w:widowControl/>
              <w:suppressLineNumbers/>
              <w:tabs>
                <w:tab w:val="center" w:pos="4818"/>
                <w:tab w:val="right" w:pos="9637"/>
              </w:tabs>
              <w:suppressAutoHyphens w:val="0"/>
              <w:jc w:val="right"/>
              <w:rPr>
                <w:rFonts w:ascii="Calibri" w:hAnsi="Calibri" w:cs="Calibri"/>
                <w:sz w:val="18"/>
                <w:szCs w:val="18"/>
              </w:rPr>
            </w:pPr>
            <w:r w:rsidRPr="009F6FB0">
              <w:rPr>
                <w:rFonts w:ascii="Calibri" w:hAnsi="Calibri" w:cs="Calibri"/>
                <w:sz w:val="18"/>
                <w:szCs w:val="18"/>
              </w:rPr>
              <w:t>P</w:t>
            </w:r>
            <w:r w:rsidR="007A05CE" w:rsidRPr="009F6FB0">
              <w:rPr>
                <w:rFonts w:ascii="Calibri" w:hAnsi="Calibri" w:cs="Calibri"/>
                <w:sz w:val="18"/>
                <w:szCs w:val="18"/>
              </w:rPr>
              <w:t xml:space="preserve">ágina </w:t>
            </w:r>
            <w:r w:rsidR="007A05CE" w:rsidRPr="009F6FB0">
              <w:rPr>
                <w:rFonts w:ascii="Calibri" w:hAnsi="Calibri" w:cs="Calibri"/>
                <w:b/>
                <w:bCs/>
                <w:sz w:val="18"/>
                <w:szCs w:val="18"/>
              </w:rPr>
              <w:fldChar w:fldCharType="begin"/>
            </w:r>
            <w:r w:rsidR="007A05CE" w:rsidRPr="009F6FB0">
              <w:rPr>
                <w:rFonts w:ascii="Calibri" w:hAnsi="Calibri" w:cs="Calibri"/>
                <w:b/>
                <w:bCs/>
                <w:sz w:val="18"/>
                <w:szCs w:val="18"/>
              </w:rPr>
              <w:instrText>PAGE</w:instrText>
            </w:r>
            <w:r w:rsidR="007A05CE" w:rsidRPr="009F6FB0">
              <w:rPr>
                <w:rFonts w:ascii="Calibri" w:hAnsi="Calibri" w:cs="Calibri"/>
                <w:b/>
                <w:bCs/>
                <w:sz w:val="18"/>
                <w:szCs w:val="18"/>
              </w:rPr>
              <w:fldChar w:fldCharType="separate"/>
            </w:r>
            <w:r w:rsidR="00B61699">
              <w:rPr>
                <w:rFonts w:ascii="Calibri" w:hAnsi="Calibri" w:cs="Calibri"/>
                <w:b/>
                <w:bCs/>
                <w:noProof/>
                <w:sz w:val="18"/>
                <w:szCs w:val="18"/>
              </w:rPr>
              <w:t>3</w:t>
            </w:r>
            <w:r w:rsidR="007A05CE" w:rsidRPr="009F6FB0">
              <w:rPr>
                <w:rFonts w:ascii="Calibri" w:hAnsi="Calibri" w:cs="Calibri"/>
                <w:b/>
                <w:bCs/>
                <w:sz w:val="18"/>
                <w:szCs w:val="18"/>
              </w:rPr>
              <w:fldChar w:fldCharType="end"/>
            </w:r>
            <w:r w:rsidR="007A05CE" w:rsidRPr="009F6FB0">
              <w:rPr>
                <w:rFonts w:ascii="Calibri" w:hAnsi="Calibri" w:cs="Calibri"/>
                <w:sz w:val="18"/>
                <w:szCs w:val="18"/>
              </w:rPr>
              <w:t xml:space="preserve"> de </w:t>
            </w:r>
            <w:r w:rsidR="007A05CE" w:rsidRPr="009F6FB0">
              <w:rPr>
                <w:rFonts w:ascii="Calibri" w:hAnsi="Calibri" w:cs="Calibri"/>
                <w:b/>
                <w:bCs/>
                <w:sz w:val="18"/>
                <w:szCs w:val="18"/>
              </w:rPr>
              <w:fldChar w:fldCharType="begin"/>
            </w:r>
            <w:r w:rsidR="007A05CE" w:rsidRPr="009F6FB0">
              <w:rPr>
                <w:rFonts w:ascii="Calibri" w:hAnsi="Calibri" w:cs="Calibri"/>
                <w:b/>
                <w:bCs/>
                <w:sz w:val="18"/>
                <w:szCs w:val="18"/>
              </w:rPr>
              <w:instrText>NUMPAGES</w:instrText>
            </w:r>
            <w:r w:rsidR="007A05CE" w:rsidRPr="009F6FB0">
              <w:rPr>
                <w:rFonts w:ascii="Calibri" w:hAnsi="Calibri" w:cs="Calibri"/>
                <w:b/>
                <w:bCs/>
                <w:sz w:val="18"/>
                <w:szCs w:val="18"/>
              </w:rPr>
              <w:fldChar w:fldCharType="separate"/>
            </w:r>
            <w:r w:rsidR="00B61699">
              <w:rPr>
                <w:rFonts w:ascii="Calibri" w:hAnsi="Calibri" w:cs="Calibri"/>
                <w:b/>
                <w:bCs/>
                <w:noProof/>
                <w:sz w:val="18"/>
                <w:szCs w:val="18"/>
              </w:rPr>
              <w:t>6</w:t>
            </w:r>
            <w:r w:rsidR="007A05CE" w:rsidRPr="009F6FB0">
              <w:rPr>
                <w:rFonts w:ascii="Calibri" w:hAnsi="Calibri" w:cs="Calibri"/>
                <w:b/>
                <w:bCs/>
                <w:sz w:val="18"/>
                <w:szCs w:val="18"/>
              </w:rPr>
              <w:fldChar w:fldCharType="end"/>
            </w:r>
          </w:p>
        </w:sdtContent>
      </w:sdt>
    </w:sdtContent>
  </w:sdt>
  <w:p w14:paraId="165A6277" w14:textId="77777777" w:rsidR="00F46765" w:rsidRPr="009F6FB0" w:rsidRDefault="00F46765" w:rsidP="00F46765">
    <w:pPr>
      <w:pStyle w:val="Rodap"/>
      <w:tabs>
        <w:tab w:val="clear" w:pos="4252"/>
        <w:tab w:val="clear" w:pos="8504"/>
        <w:tab w:val="left" w:pos="7080"/>
      </w:tabs>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ECCE" w14:textId="77777777" w:rsidR="00F46765" w:rsidRDefault="00F46765" w:rsidP="00F46765">
      <w:r>
        <w:separator/>
      </w:r>
    </w:p>
  </w:footnote>
  <w:footnote w:type="continuationSeparator" w:id="0">
    <w:p w14:paraId="4286E47A" w14:textId="77777777" w:rsidR="00F46765" w:rsidRDefault="00F46765" w:rsidP="00F467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E000" w14:textId="77777777" w:rsidR="00F46765" w:rsidRDefault="00F46765" w:rsidP="00F46765">
    <w:pPr>
      <w:pStyle w:val="Cabealho"/>
      <w:ind w:right="-2"/>
      <w:jc w:val="center"/>
    </w:pPr>
    <w:r w:rsidRPr="00794479">
      <w:rPr>
        <w:noProof/>
      </w:rPr>
      <w:drawing>
        <wp:inline distT="0" distB="0" distL="0" distR="0" wp14:anchorId="7073F2A4" wp14:editId="2B306FEC">
          <wp:extent cx="952500" cy="11525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7BD3EE7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8BB0CCD"/>
    <w:multiLevelType w:val="multilevel"/>
    <w:tmpl w:val="BBAA13D8"/>
    <w:lvl w:ilvl="0">
      <w:start w:val="1"/>
      <w:numFmt w:val="decimal"/>
      <w:lvlText w:val="%1."/>
      <w:lvlJc w:val="left"/>
      <w:pPr>
        <w:ind w:left="720" w:hanging="360"/>
      </w:pPr>
      <w:rPr>
        <w:rFonts w:hint="default"/>
      </w:rPr>
    </w:lvl>
    <w:lvl w:ilvl="1">
      <w:start w:val="10"/>
      <w:numFmt w:val="decimal"/>
      <w:isLgl/>
      <w:lvlText w:val="%10.%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7747ED"/>
    <w:multiLevelType w:val="multilevel"/>
    <w:tmpl w:val="AB9C1C68"/>
    <w:lvl w:ilvl="0">
      <w:start w:val="1"/>
      <w:numFmt w:val="decimal"/>
      <w:lvlText w:val="%1."/>
      <w:lvlJc w:val="left"/>
      <w:pPr>
        <w:ind w:left="720" w:hanging="360"/>
      </w:pPr>
      <w:rPr>
        <w:rFonts w:hint="default"/>
      </w:rPr>
    </w:lvl>
    <w:lvl w:ilvl="1">
      <w:start w:val="1"/>
      <w:numFmt w:val="decimal"/>
      <w:isLgl/>
      <w:lvlText w:val="%13.%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AC1015"/>
    <w:multiLevelType w:val="multilevel"/>
    <w:tmpl w:val="D4C421A0"/>
    <w:lvl w:ilvl="0">
      <w:start w:val="1"/>
      <w:numFmt w:val="none"/>
      <w:isLgl/>
      <w:lvlText w:val="4.1."/>
      <w:lvlJc w:val="left"/>
      <w:pPr>
        <w:ind w:left="0" w:firstLine="284"/>
      </w:pPr>
      <w:rPr>
        <w:rFonts w:ascii="Calibri" w:hAnsi="Calibri" w:hint="default"/>
        <w:b/>
        <w:i w:val="0"/>
        <w:sz w:val="22"/>
      </w:rPr>
    </w:lvl>
    <w:lvl w:ilvl="1">
      <w:start w:val="1"/>
      <w:numFmt w:val="decimal"/>
      <w:lvlText w:val="4.%2."/>
      <w:lvlJc w:val="left"/>
      <w:pPr>
        <w:ind w:left="0" w:firstLine="357"/>
      </w:pPr>
      <w:rPr>
        <w:rFonts w:hint="default"/>
        <w:b/>
        <w:bCs/>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 w15:restartNumberingAfterBreak="0">
    <w:nsid w:val="1D5C100D"/>
    <w:multiLevelType w:val="multilevel"/>
    <w:tmpl w:val="7D941876"/>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496422"/>
    <w:multiLevelType w:val="multilevel"/>
    <w:tmpl w:val="9656DAE0"/>
    <w:lvl w:ilvl="0">
      <w:start w:val="1"/>
      <w:numFmt w:val="decimal"/>
      <w:lvlText w:val="%1."/>
      <w:lvlJc w:val="left"/>
      <w:pPr>
        <w:ind w:left="720" w:hanging="360"/>
      </w:pPr>
      <w:rPr>
        <w:rFonts w:hint="default"/>
      </w:rPr>
    </w:lvl>
    <w:lvl w:ilvl="1">
      <w:start w:val="1"/>
      <w:numFmt w:val="decimal"/>
      <w:isLgl/>
      <w:lvlText w:val="%14.%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5DC1CEA"/>
    <w:multiLevelType w:val="multilevel"/>
    <w:tmpl w:val="DD6C0E76"/>
    <w:lvl w:ilvl="0">
      <w:start w:val="1"/>
      <w:numFmt w:val="decimal"/>
      <w:lvlText w:val="%1."/>
      <w:lvlJc w:val="left"/>
      <w:pPr>
        <w:ind w:left="720" w:hanging="360"/>
      </w:pPr>
      <w:rPr>
        <w:rFonts w:hint="default"/>
      </w:rPr>
    </w:lvl>
    <w:lvl w:ilvl="1">
      <w:start w:val="1"/>
      <w:numFmt w:val="decimal"/>
      <w:isLgl/>
      <w:lvlText w:val="%12.%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F237B3E"/>
    <w:multiLevelType w:val="multilevel"/>
    <w:tmpl w:val="6F104B72"/>
    <w:lvl w:ilvl="0">
      <w:start w:val="1"/>
      <w:numFmt w:val="decimal"/>
      <w:lvlText w:val="%1."/>
      <w:lvlJc w:val="left"/>
      <w:pPr>
        <w:ind w:left="720" w:hanging="360"/>
      </w:pPr>
      <w:rPr>
        <w:rFonts w:hint="default"/>
      </w:rPr>
    </w:lvl>
    <w:lvl w:ilvl="1">
      <w:start w:val="1"/>
      <w:numFmt w:val="decimal"/>
      <w:isLgl/>
      <w:lvlText w:val="%1.%2."/>
      <w:lvlJc w:val="left"/>
      <w:pPr>
        <w:ind w:left="0" w:firstLine="357"/>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BBA08CB"/>
    <w:multiLevelType w:val="hybridMultilevel"/>
    <w:tmpl w:val="7D44172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957786"/>
    <w:multiLevelType w:val="multilevel"/>
    <w:tmpl w:val="50369572"/>
    <w:lvl w:ilvl="0">
      <w:start w:val="1"/>
      <w:numFmt w:val="decimal"/>
      <w:lvlText w:val="%1."/>
      <w:lvlJc w:val="left"/>
      <w:pPr>
        <w:ind w:left="720" w:hanging="360"/>
      </w:pPr>
      <w:rPr>
        <w:rFonts w:hint="default"/>
      </w:rPr>
    </w:lvl>
    <w:lvl w:ilvl="1">
      <w:start w:val="1"/>
      <w:numFmt w:val="decimal"/>
      <w:isLgl/>
      <w:lvlText w:val="%11.%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4DC1226"/>
    <w:multiLevelType w:val="multilevel"/>
    <w:tmpl w:val="3CCEFF96"/>
    <w:lvl w:ilvl="0">
      <w:start w:val="10"/>
      <w:numFmt w:val="decimal"/>
      <w:lvlText w:val="%1"/>
      <w:lvlJc w:val="left"/>
      <w:pPr>
        <w:ind w:left="480" w:hanging="480"/>
      </w:pPr>
      <w:rPr>
        <w:rFonts w:hint="default"/>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D9F0BE3"/>
    <w:multiLevelType w:val="multilevel"/>
    <w:tmpl w:val="9BE4DF6E"/>
    <w:lvl w:ilvl="0">
      <w:start w:val="1"/>
      <w:numFmt w:val="decimal"/>
      <w:lvlText w:val="%1."/>
      <w:lvlJc w:val="left"/>
      <w:pPr>
        <w:ind w:left="720" w:hanging="360"/>
      </w:pPr>
      <w:rPr>
        <w:rFonts w:hint="default"/>
      </w:rPr>
    </w:lvl>
    <w:lvl w:ilvl="1">
      <w:start w:val="1"/>
      <w:numFmt w:val="decimal"/>
      <w:isLgl/>
      <w:lvlText w:val="%15.%2."/>
      <w:lvlJc w:val="left"/>
      <w:pPr>
        <w:ind w:left="0" w:firstLine="284"/>
      </w:pPr>
      <w:rPr>
        <w:rFonts w:hint="default"/>
        <w:b/>
        <w:color w:val="auto"/>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num>
  <w:num w:numId="5">
    <w:abstractNumId w:val="4"/>
  </w:num>
  <w:num w:numId="6">
    <w:abstractNumId w:val="8"/>
  </w:num>
  <w:num w:numId="7">
    <w:abstractNumId w:val="10"/>
  </w:num>
  <w:num w:numId="8">
    <w:abstractNumId w:val="3"/>
  </w:num>
  <w:num w:numId="9">
    <w:abstractNumId w:val="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284"/>
        </w:pPr>
        <w:rPr>
          <w:rFonts w:hint="default"/>
          <w:b/>
          <w:color w:val="auto"/>
          <w:sz w:val="22"/>
          <w:szCs w:val="22"/>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1"/>
  </w:num>
  <w:num w:numId="11">
    <w:abstractNumId w:val="9"/>
  </w:num>
  <w:num w:numId="12">
    <w:abstractNumId w:val="6"/>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03"/>
    <w:rsid w:val="000204F8"/>
    <w:rsid w:val="000234A1"/>
    <w:rsid w:val="00042F5F"/>
    <w:rsid w:val="00043C67"/>
    <w:rsid w:val="000B567D"/>
    <w:rsid w:val="000E3B0A"/>
    <w:rsid w:val="0015136E"/>
    <w:rsid w:val="00341824"/>
    <w:rsid w:val="00365240"/>
    <w:rsid w:val="006A4C92"/>
    <w:rsid w:val="006C64AF"/>
    <w:rsid w:val="00717F27"/>
    <w:rsid w:val="007860C4"/>
    <w:rsid w:val="007A05CE"/>
    <w:rsid w:val="00923E5E"/>
    <w:rsid w:val="00944C2C"/>
    <w:rsid w:val="00982D6C"/>
    <w:rsid w:val="009933CD"/>
    <w:rsid w:val="009D230D"/>
    <w:rsid w:val="009F6FB0"/>
    <w:rsid w:val="00A8539D"/>
    <w:rsid w:val="00AB74AC"/>
    <w:rsid w:val="00AF1B2D"/>
    <w:rsid w:val="00B37228"/>
    <w:rsid w:val="00B42718"/>
    <w:rsid w:val="00B61699"/>
    <w:rsid w:val="00BC53A7"/>
    <w:rsid w:val="00C043C8"/>
    <w:rsid w:val="00CE02BD"/>
    <w:rsid w:val="00D22EB9"/>
    <w:rsid w:val="00E43532"/>
    <w:rsid w:val="00E80A02"/>
    <w:rsid w:val="00EA1EBA"/>
    <w:rsid w:val="00F16E03"/>
    <w:rsid w:val="00F46765"/>
    <w:rsid w:val="00F81B72"/>
    <w:rsid w:val="00F86F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16A2CEEE"/>
  <w15:chartTrackingRefBased/>
  <w15:docId w15:val="{605D4156-9DD1-4169-BB5B-190677E2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65"/>
    <w:pPr>
      <w:widowControl w:val="0"/>
      <w:suppressAutoHyphens/>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467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D22EB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
    <w:basedOn w:val="Normal"/>
    <w:link w:val="CabealhoChar"/>
    <w:unhideWhenUsed/>
    <w:rsid w:val="00F46765"/>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rsid w:val="00F46765"/>
  </w:style>
  <w:style w:type="paragraph" w:styleId="Rodap">
    <w:name w:val="footer"/>
    <w:basedOn w:val="Normal"/>
    <w:link w:val="RodapChar"/>
    <w:uiPriority w:val="99"/>
    <w:unhideWhenUsed/>
    <w:rsid w:val="00F46765"/>
    <w:pPr>
      <w:tabs>
        <w:tab w:val="center" w:pos="4252"/>
        <w:tab w:val="right" w:pos="8504"/>
      </w:tabs>
    </w:pPr>
  </w:style>
  <w:style w:type="character" w:customStyle="1" w:styleId="RodapChar">
    <w:name w:val="Rodapé Char"/>
    <w:basedOn w:val="Fontepargpadro"/>
    <w:link w:val="Rodap"/>
    <w:uiPriority w:val="99"/>
    <w:rsid w:val="00F46765"/>
  </w:style>
  <w:style w:type="paragraph" w:styleId="PargrafodaLista">
    <w:name w:val="List Paragraph"/>
    <w:basedOn w:val="Normal"/>
    <w:uiPriority w:val="34"/>
    <w:qFormat/>
    <w:rsid w:val="00F46765"/>
    <w:pPr>
      <w:ind w:left="708"/>
    </w:pPr>
  </w:style>
  <w:style w:type="paragraph" w:customStyle="1" w:styleId="Nivel1">
    <w:name w:val="Nivel1"/>
    <w:basedOn w:val="Ttulo1"/>
    <w:next w:val="Normal"/>
    <w:link w:val="Nivel1Char"/>
    <w:qFormat/>
    <w:rsid w:val="00F46765"/>
    <w:pPr>
      <w:widowControl/>
      <w:suppressAutoHyphens w:val="0"/>
      <w:spacing w:before="480" w:after="120" w:line="276" w:lineRule="auto"/>
      <w:jc w:val="both"/>
    </w:pPr>
    <w:rPr>
      <w:rFonts w:ascii="Arial" w:eastAsia="MS Gothic" w:hAnsi="Arial" w:cs="Arial"/>
      <w:b/>
      <w:color w:val="000000"/>
      <w:sz w:val="20"/>
      <w:szCs w:val="20"/>
    </w:rPr>
  </w:style>
  <w:style w:type="character" w:customStyle="1" w:styleId="Nivel1Char">
    <w:name w:val="Nivel1 Char"/>
    <w:link w:val="Nivel1"/>
    <w:rsid w:val="00F46765"/>
    <w:rPr>
      <w:rFonts w:ascii="Arial" w:eastAsia="MS Gothic" w:hAnsi="Arial" w:cs="Arial"/>
      <w:b/>
      <w:color w:val="000000"/>
      <w:sz w:val="20"/>
      <w:szCs w:val="20"/>
      <w:lang w:eastAsia="pt-BR"/>
    </w:rPr>
  </w:style>
  <w:style w:type="character" w:customStyle="1" w:styleId="Ttulo1Char">
    <w:name w:val="Título 1 Char"/>
    <w:basedOn w:val="Fontepargpadro"/>
    <w:link w:val="Ttulo1"/>
    <w:uiPriority w:val="9"/>
    <w:rsid w:val="00F46765"/>
    <w:rPr>
      <w:rFonts w:asciiTheme="majorHAnsi" w:eastAsiaTheme="majorEastAsia" w:hAnsiTheme="majorHAnsi" w:cstheme="majorBidi"/>
      <w:color w:val="2E74B5" w:themeColor="accent1" w:themeShade="BF"/>
      <w:sz w:val="32"/>
      <w:szCs w:val="32"/>
      <w:lang w:eastAsia="pt-BR"/>
    </w:rPr>
  </w:style>
  <w:style w:type="character" w:customStyle="1" w:styleId="WW8Num5z1">
    <w:name w:val="WW8Num5z1"/>
    <w:rsid w:val="00F46765"/>
    <w:rPr>
      <w:rFonts w:ascii="Courier New" w:hAnsi="Courier New"/>
      <w:b/>
    </w:rPr>
  </w:style>
  <w:style w:type="character" w:customStyle="1" w:styleId="fontstyle01">
    <w:name w:val="fontstyle01"/>
    <w:basedOn w:val="Fontepargpadro"/>
    <w:rsid w:val="00E43532"/>
    <w:rPr>
      <w:rFonts w:ascii="Calibri" w:hAnsi="Calibri" w:cs="Calibri" w:hint="default"/>
      <w:b w:val="0"/>
      <w:bCs w:val="0"/>
      <w:i w:val="0"/>
      <w:iCs w:val="0"/>
      <w:color w:val="000000"/>
      <w:sz w:val="22"/>
      <w:szCs w:val="22"/>
    </w:rPr>
  </w:style>
  <w:style w:type="character" w:customStyle="1" w:styleId="fontstyle21">
    <w:name w:val="fontstyle21"/>
    <w:basedOn w:val="Fontepargpadro"/>
    <w:rsid w:val="00E43532"/>
    <w:rPr>
      <w:rFonts w:ascii="Calibri-Bold" w:hAnsi="Calibri-Bold" w:hint="default"/>
      <w:b/>
      <w:bCs/>
      <w:i w:val="0"/>
      <w:iCs w:val="0"/>
      <w:color w:val="000000"/>
      <w:sz w:val="22"/>
      <w:szCs w:val="22"/>
    </w:rPr>
  </w:style>
  <w:style w:type="character" w:styleId="Hyperlink">
    <w:name w:val="Hyperlink"/>
    <w:uiPriority w:val="99"/>
    <w:unhideWhenUsed/>
    <w:rsid w:val="006A4C92"/>
    <w:rPr>
      <w:color w:val="0000FF"/>
      <w:u w:val="single"/>
    </w:rPr>
  </w:style>
  <w:style w:type="character" w:customStyle="1" w:styleId="Ttulo2Char">
    <w:name w:val="Título 2 Char"/>
    <w:basedOn w:val="Fontepargpadro"/>
    <w:link w:val="Ttulo2"/>
    <w:uiPriority w:val="9"/>
    <w:semiHidden/>
    <w:rsid w:val="00D22EB9"/>
    <w:rPr>
      <w:rFonts w:asciiTheme="majorHAnsi" w:eastAsiaTheme="majorEastAsia" w:hAnsiTheme="majorHAnsi" w:cstheme="majorBidi"/>
      <w:color w:val="2E74B5" w:themeColor="accent1" w:themeShade="BF"/>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amu.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2129</Words>
  <Characters>11498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Ramal-</dc:creator>
  <cp:keywords/>
  <dc:description/>
  <cp:lastModifiedBy>Compras</cp:lastModifiedBy>
  <cp:revision>31</cp:revision>
  <dcterms:created xsi:type="dcterms:W3CDTF">2021-08-30T13:36:00Z</dcterms:created>
  <dcterms:modified xsi:type="dcterms:W3CDTF">2022-01-04T12:38:00Z</dcterms:modified>
</cp:coreProperties>
</file>